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068" w:rsidRPr="00EA6972" w:rsidRDefault="000A1068" w:rsidP="000A1068">
      <w:pPr>
        <w:shd w:val="clear" w:color="auto" w:fill="FFFFFF"/>
        <w:spacing w:after="525" w:line="240" w:lineRule="auto"/>
        <w:jc w:val="center"/>
        <w:outlineLvl w:val="1"/>
        <w:rPr>
          <w:rFonts w:ascii="Helvetica" w:eastAsia="Times New Roman" w:hAnsi="Helvetica" w:cs="Times New Roman"/>
          <w:b/>
          <w:bCs/>
          <w:color w:val="28AAF5"/>
          <w:sz w:val="28"/>
          <w:szCs w:val="28"/>
          <w:lang w:eastAsia="lv-LV"/>
        </w:rPr>
      </w:pPr>
      <w:r w:rsidRPr="00EA6972">
        <w:rPr>
          <w:rFonts w:ascii="Helvetica" w:eastAsia="Times New Roman" w:hAnsi="Helvetica" w:cs="Times New Roman"/>
          <w:b/>
          <w:bCs/>
          <w:color w:val="28AAF5"/>
          <w:sz w:val="28"/>
          <w:szCs w:val="28"/>
          <w:lang w:eastAsia="lv-LV"/>
        </w:rPr>
        <w:t xml:space="preserve">Tirgus izpēte AS “Rēzeknes siltumtīkli” īpašumā </w:t>
      </w:r>
      <w:r w:rsidR="00FC1FB5">
        <w:rPr>
          <w:rFonts w:ascii="Helvetica" w:eastAsia="Times New Roman" w:hAnsi="Helvetica" w:cs="Times New Roman"/>
          <w:b/>
          <w:bCs/>
          <w:color w:val="28AAF5"/>
          <w:sz w:val="28"/>
          <w:szCs w:val="28"/>
          <w:lang w:eastAsia="lv-LV"/>
        </w:rPr>
        <w:t>esoša dzelzceļa pievedceļa Nr.85</w:t>
      </w:r>
      <w:r w:rsidRPr="00EA6972">
        <w:rPr>
          <w:rFonts w:ascii="Helvetica" w:eastAsia="Times New Roman" w:hAnsi="Helvetica" w:cs="Times New Roman"/>
          <w:b/>
          <w:bCs/>
          <w:color w:val="28AAF5"/>
          <w:sz w:val="28"/>
          <w:szCs w:val="28"/>
          <w:lang w:eastAsia="lv-LV"/>
        </w:rPr>
        <w:t xml:space="preserve"> atjaunošana Viļakas ielā 5B, Rēzeknē. </w:t>
      </w:r>
    </w:p>
    <w:p w:rsidR="000A1068" w:rsidRPr="00EA6972" w:rsidRDefault="000A1068" w:rsidP="000A1068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lv-LV"/>
        </w:rPr>
      </w:pPr>
      <w:r w:rsidRPr="00EA6972">
        <w:rPr>
          <w:rFonts w:ascii="Times New Roman" w:eastAsia="Times New Roman" w:hAnsi="Times New Roman" w:cs="Times New Roman"/>
          <w:color w:val="454545"/>
          <w:sz w:val="24"/>
          <w:szCs w:val="24"/>
          <w:lang w:eastAsia="lv-LV"/>
        </w:rPr>
        <w:t xml:space="preserve">AS “Rēzeknes siltumtīkli”, reģ. Nr. 40003215480, izsludina tirgus izpēti </w:t>
      </w:r>
      <w:r w:rsidRPr="00EA6972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lv-LV"/>
        </w:rPr>
        <w:t xml:space="preserve">AS </w:t>
      </w:r>
      <w:r w:rsidRPr="0057597A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lv-LV"/>
        </w:rPr>
        <w:t xml:space="preserve">“Rēzeknes siltumtīkli” īpašumā esoša dzelzceļa pievedceļa </w:t>
      </w:r>
      <w:r w:rsidR="00FC1FB5" w:rsidRPr="0057597A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lv-LV"/>
        </w:rPr>
        <w:t>Nr.85</w:t>
      </w:r>
      <w:r w:rsidRPr="0057597A">
        <w:rPr>
          <w:rFonts w:ascii="Times New Roman" w:eastAsia="Times New Roman" w:hAnsi="Times New Roman" w:cs="Times New Roman"/>
          <w:b/>
          <w:bCs/>
          <w:color w:val="454545"/>
          <w:sz w:val="24"/>
          <w:szCs w:val="24"/>
          <w:lang w:eastAsia="lv-LV"/>
        </w:rPr>
        <w:t xml:space="preserve"> atjaunošana Viļakas ielā 5B, Rēzeknē</w:t>
      </w:r>
      <w:r w:rsidRPr="00EA6972">
        <w:rPr>
          <w:rFonts w:ascii="Times New Roman" w:eastAsia="Times New Roman" w:hAnsi="Times New Roman" w:cs="Times New Roman"/>
          <w:b/>
          <w:color w:val="454545"/>
          <w:sz w:val="24"/>
          <w:szCs w:val="24"/>
          <w:lang w:eastAsia="lv-LV"/>
        </w:rPr>
        <w:t>.</w:t>
      </w:r>
    </w:p>
    <w:p w:rsidR="000A1068" w:rsidRPr="00EA6972" w:rsidRDefault="000A1068" w:rsidP="000A1068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6972">
        <w:rPr>
          <w:rFonts w:ascii="Times New Roman" w:eastAsia="Calibri" w:hAnsi="Times New Roman" w:cs="Times New Roman"/>
          <w:b/>
          <w:sz w:val="24"/>
          <w:szCs w:val="24"/>
        </w:rPr>
        <w:t xml:space="preserve">Vispārēja informācija: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28"/>
        <w:gridCol w:w="5276"/>
      </w:tblGrid>
      <w:tr w:rsidR="000A1068" w:rsidRPr="00EA6972" w:rsidTr="000A1068">
        <w:trPr>
          <w:trHeight w:val="397"/>
        </w:trPr>
        <w:tc>
          <w:tcPr>
            <w:tcW w:w="2628" w:type="dxa"/>
            <w:vAlign w:val="center"/>
          </w:tcPr>
          <w:p w:rsidR="000A1068" w:rsidRPr="00EA6972" w:rsidRDefault="000A1068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Pasūtītāja nosaukums</w:t>
            </w:r>
          </w:p>
        </w:tc>
        <w:tc>
          <w:tcPr>
            <w:tcW w:w="5276" w:type="dxa"/>
            <w:vAlign w:val="center"/>
          </w:tcPr>
          <w:p w:rsidR="000A1068" w:rsidRPr="00EA6972" w:rsidRDefault="000A1068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 “Rēzeknes siltumtīkli”</w:t>
            </w:r>
          </w:p>
        </w:tc>
      </w:tr>
      <w:tr w:rsidR="000A1068" w:rsidRPr="00EA6972" w:rsidTr="000A1068">
        <w:trPr>
          <w:trHeight w:val="397"/>
        </w:trPr>
        <w:tc>
          <w:tcPr>
            <w:tcW w:w="2628" w:type="dxa"/>
            <w:vAlign w:val="center"/>
          </w:tcPr>
          <w:p w:rsidR="000A1068" w:rsidRPr="00EA6972" w:rsidRDefault="000A1068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276" w:type="dxa"/>
            <w:vAlign w:val="center"/>
          </w:tcPr>
          <w:p w:rsidR="000A1068" w:rsidRPr="00EA6972" w:rsidRDefault="000A1068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972">
              <w:rPr>
                <w:rFonts w:ascii="Times New Roman" w:eastAsia="Calibri" w:hAnsi="Times New Roman" w:cs="Times New Roman"/>
                <w:sz w:val="24"/>
                <w:szCs w:val="24"/>
              </w:rPr>
              <w:t>Rīgas iela 1, Rēzekne, LV-4601</w:t>
            </w:r>
          </w:p>
        </w:tc>
      </w:tr>
      <w:tr w:rsidR="000A1068" w:rsidRPr="00EA6972" w:rsidTr="000A1068">
        <w:trPr>
          <w:trHeight w:val="397"/>
        </w:trPr>
        <w:tc>
          <w:tcPr>
            <w:tcW w:w="2628" w:type="dxa"/>
            <w:vAlign w:val="center"/>
          </w:tcPr>
          <w:p w:rsidR="000A1068" w:rsidRPr="00EA6972" w:rsidRDefault="000A1068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276" w:type="dxa"/>
            <w:vAlign w:val="center"/>
          </w:tcPr>
          <w:p w:rsidR="000A1068" w:rsidRPr="00EA6972" w:rsidRDefault="000A1068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6972">
              <w:rPr>
                <w:rFonts w:ascii="Times New Roman" w:eastAsia="Calibri" w:hAnsi="Times New Roman" w:cs="Times New Roman"/>
                <w:sz w:val="24"/>
                <w:szCs w:val="24"/>
              </w:rPr>
              <w:t>40003215480</w:t>
            </w:r>
          </w:p>
        </w:tc>
      </w:tr>
      <w:tr w:rsidR="000A1068" w:rsidRPr="00EA6972" w:rsidTr="000A1068">
        <w:trPr>
          <w:trHeight w:val="397"/>
        </w:trPr>
        <w:tc>
          <w:tcPr>
            <w:tcW w:w="2628" w:type="dxa"/>
            <w:vAlign w:val="center"/>
          </w:tcPr>
          <w:p w:rsidR="000A1068" w:rsidRPr="00EA6972" w:rsidRDefault="000A1068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E-pasts</w:t>
            </w:r>
          </w:p>
        </w:tc>
        <w:tc>
          <w:tcPr>
            <w:tcW w:w="5276" w:type="dxa"/>
            <w:vAlign w:val="center"/>
          </w:tcPr>
          <w:p w:rsidR="000A1068" w:rsidRPr="00EA6972" w:rsidRDefault="00D26770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0A1068" w:rsidRPr="00EA6972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info@rezeknessiltumtikli.lv</w:t>
              </w:r>
            </w:hyperlink>
            <w:proofErr w:type="gramStart"/>
            <w:r w:rsidR="000A1068" w:rsidRPr="00EA6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</w:tr>
      <w:tr w:rsidR="000A1068" w:rsidRPr="00EA6972" w:rsidTr="000A1068">
        <w:trPr>
          <w:trHeight w:val="397"/>
        </w:trPr>
        <w:tc>
          <w:tcPr>
            <w:tcW w:w="2628" w:type="dxa"/>
            <w:vAlign w:val="center"/>
          </w:tcPr>
          <w:p w:rsidR="000A1068" w:rsidRPr="00EA6972" w:rsidRDefault="000A1068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Interneta mājas lapa</w:t>
            </w:r>
          </w:p>
        </w:tc>
        <w:tc>
          <w:tcPr>
            <w:tcW w:w="5276" w:type="dxa"/>
            <w:vAlign w:val="center"/>
          </w:tcPr>
          <w:p w:rsidR="000A1068" w:rsidRPr="00EA6972" w:rsidRDefault="00D26770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0A1068" w:rsidRPr="00EA6972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www.rezeknessiltumtikli.lv</w:t>
              </w:r>
            </w:hyperlink>
            <w:proofErr w:type="gramStart"/>
            <w:r w:rsidR="000A1068" w:rsidRPr="00EA6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1068" w:rsidRPr="00EA697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proofErr w:type="gramEnd"/>
          </w:p>
        </w:tc>
      </w:tr>
      <w:tr w:rsidR="000A1068" w:rsidRPr="00EA6972" w:rsidTr="000A1068">
        <w:trPr>
          <w:trHeight w:val="473"/>
        </w:trPr>
        <w:tc>
          <w:tcPr>
            <w:tcW w:w="2628" w:type="dxa"/>
            <w:vAlign w:val="center"/>
          </w:tcPr>
          <w:p w:rsidR="000A1068" w:rsidRPr="00EA6972" w:rsidRDefault="000A1068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6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Kontaktpersonas </w:t>
            </w:r>
          </w:p>
        </w:tc>
        <w:tc>
          <w:tcPr>
            <w:tcW w:w="5276" w:type="dxa"/>
            <w:vAlign w:val="center"/>
          </w:tcPr>
          <w:p w:rsidR="000A1068" w:rsidRPr="00EA6972" w:rsidRDefault="00C0032B" w:rsidP="000A1068">
            <w:pPr>
              <w:spacing w:after="0" w:line="240" w:lineRule="auto"/>
              <w:ind w:left="90" w:hanging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Siltumtīklu inženiere</w:t>
            </w:r>
            <w:r w:rsidR="000A1068" w:rsidRPr="00EA6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Tatjana Seņko, t.64625140;</w:t>
            </w:r>
          </w:p>
          <w:p w:rsidR="000A1068" w:rsidRPr="00EA6972" w:rsidRDefault="000A1068" w:rsidP="000A1068">
            <w:pPr>
              <w:spacing w:after="0" w:line="240" w:lineRule="auto"/>
              <w:ind w:left="90" w:hanging="56"/>
              <w:rPr>
                <w:rFonts w:ascii="Times New Roman" w:eastAsia="Calibri" w:hAnsi="Times New Roman" w:cs="Times New Roman"/>
                <w:i/>
                <w:color w:val="000080"/>
                <w:sz w:val="24"/>
                <w:szCs w:val="24"/>
                <w:u w:val="single"/>
              </w:rPr>
            </w:pPr>
            <w:r w:rsidRPr="00EA6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Juriste </w:t>
            </w:r>
            <w:r w:rsidR="00382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Sandra Rode, tālrunis 64628024, </w:t>
            </w:r>
            <w:proofErr w:type="spellStart"/>
            <w:r w:rsidR="00382FC6">
              <w:rPr>
                <w:rFonts w:ascii="Times New Roman" w:eastAsia="Calibri" w:hAnsi="Times New Roman" w:cs="Times New Roman"/>
                <w:sz w:val="24"/>
                <w:szCs w:val="24"/>
              </w:rPr>
              <w:t>mob.tālrunis</w:t>
            </w:r>
            <w:proofErr w:type="spellEnd"/>
            <w:r w:rsidR="00382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A6972">
              <w:rPr>
                <w:rFonts w:ascii="Times New Roman" w:eastAsia="Calibri" w:hAnsi="Times New Roman" w:cs="Times New Roman"/>
                <w:sz w:val="24"/>
                <w:szCs w:val="24"/>
              </w:rPr>
              <w:t>26464511</w:t>
            </w:r>
          </w:p>
        </w:tc>
      </w:tr>
      <w:tr w:rsidR="000A1068" w:rsidRPr="00EA6972" w:rsidTr="000A1068">
        <w:trPr>
          <w:trHeight w:val="473"/>
        </w:trPr>
        <w:tc>
          <w:tcPr>
            <w:tcW w:w="2628" w:type="dxa"/>
            <w:vAlign w:val="center"/>
          </w:tcPr>
          <w:p w:rsidR="000A1068" w:rsidRPr="00EA6972" w:rsidRDefault="00382FC6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Piedāvājumu</w:t>
            </w:r>
            <w:r w:rsidR="000A1068" w:rsidRPr="00EA6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iesniegšanas termiņš un veids</w:t>
            </w:r>
          </w:p>
        </w:tc>
        <w:tc>
          <w:tcPr>
            <w:tcW w:w="5276" w:type="dxa"/>
            <w:vAlign w:val="center"/>
          </w:tcPr>
          <w:p w:rsidR="000A1068" w:rsidRPr="00EA6972" w:rsidRDefault="00B810A7" w:rsidP="00B52675">
            <w:pPr>
              <w:spacing w:after="0" w:line="240" w:lineRule="auto"/>
              <w:ind w:left="90" w:hanging="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Līdz 2020.gada 3</w:t>
            </w:r>
            <w:r w:rsidR="000A1068" w:rsidRPr="00EA6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.jūlijam plkst.13.00</w:t>
            </w:r>
            <w:r w:rsidR="000A1068" w:rsidRPr="00EA6972">
              <w:rPr>
                <w:rFonts w:ascii="Times New Roman" w:eastAsia="Calibri" w:hAnsi="Times New Roman" w:cs="Times New Roman"/>
                <w:sz w:val="24"/>
                <w:szCs w:val="24"/>
              </w:rPr>
              <w:t>, nosūtot elektroniski uz e-pastu</w:t>
            </w:r>
            <w:r w:rsidR="00EA6972" w:rsidRPr="00EA6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EA6972" w:rsidRPr="00EA6972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info@rezeknessiltumtikli.lv</w:t>
              </w:r>
            </w:hyperlink>
            <w:r w:rsidR="00EA6972" w:rsidRPr="00EA6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1619" w:rsidRPr="00EA6972" w:rsidTr="000A1068">
        <w:trPr>
          <w:trHeight w:val="473"/>
        </w:trPr>
        <w:tc>
          <w:tcPr>
            <w:tcW w:w="2628" w:type="dxa"/>
            <w:vAlign w:val="center"/>
          </w:tcPr>
          <w:p w:rsidR="00B31619" w:rsidRPr="00EA6972" w:rsidRDefault="00B810A7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Dzelzceļa pievedceļu vispārīgs raksturojums</w:t>
            </w:r>
          </w:p>
        </w:tc>
        <w:tc>
          <w:tcPr>
            <w:tcW w:w="5276" w:type="dxa"/>
            <w:vAlign w:val="center"/>
          </w:tcPr>
          <w:p w:rsidR="00B31619" w:rsidRPr="00B810A7" w:rsidRDefault="00FC1FB5" w:rsidP="0096504D">
            <w:pPr>
              <w:spacing w:after="0" w:line="240" w:lineRule="auto"/>
              <w:ind w:left="90" w:hanging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Dzelzceļa pievedceļi </w:t>
            </w:r>
            <w:r w:rsidRPr="00B81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Nr. 84. un Nr.85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atrodas uz AS “Rēzeknes siltumtīkli” zemes īpašuma un ir sabiedrības īpašumā saskaņā ar Valsts Dzelzceļa administrācijas Dzelzceļa infrastruktūras valsts reģistrācijas aplie</w:t>
            </w:r>
            <w:r w:rsidR="0096504D">
              <w:rPr>
                <w:rFonts w:ascii="Times New Roman" w:eastAsia="Calibri" w:hAnsi="Times New Roman" w:cs="Times New Roman"/>
                <w:sz w:val="24"/>
                <w:szCs w:val="24"/>
              </w:rPr>
              <w:t>cību 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2160 (privātas lietošanas). </w:t>
            </w:r>
            <w:r w:rsidR="00B810A7" w:rsidRPr="00B810A7">
              <w:rPr>
                <w:rFonts w:ascii="Times New Roman" w:eastAsia="Calibri" w:hAnsi="Times New Roman" w:cs="Times New Roman"/>
                <w:sz w:val="24"/>
                <w:szCs w:val="24"/>
              </w:rPr>
              <w:t>Dzelzceļa pievedceļi ir slēgti vilcienu kustībai un netiks izmantoti būvdarbu veikšanas laikā. Tie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 daļēji nojaukti (aptuveni 30%</w:t>
            </w:r>
            <w:r w:rsidR="0096504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810A7" w:rsidRPr="00B810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sastāv no sliedes R50 tipa uz koka gulšņu, pārmijas pārvedas R50 tipa 1/6 markas, balasts- šķembas.</w:t>
            </w:r>
          </w:p>
        </w:tc>
      </w:tr>
      <w:tr w:rsidR="0096504D" w:rsidRPr="00EA6972" w:rsidTr="000A1068">
        <w:trPr>
          <w:trHeight w:val="473"/>
        </w:trPr>
        <w:tc>
          <w:tcPr>
            <w:tcW w:w="2628" w:type="dxa"/>
            <w:vAlign w:val="center"/>
          </w:tcPr>
          <w:p w:rsidR="0096504D" w:rsidRDefault="0096504D" w:rsidP="00B52675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IR/NAV izstrādāts būvprojekts</w:t>
            </w:r>
          </w:p>
        </w:tc>
        <w:tc>
          <w:tcPr>
            <w:tcW w:w="5276" w:type="dxa"/>
            <w:vAlign w:val="center"/>
          </w:tcPr>
          <w:p w:rsidR="0096504D" w:rsidRDefault="0096504D" w:rsidP="0096504D">
            <w:pPr>
              <w:spacing w:after="0" w:line="240" w:lineRule="auto"/>
              <w:ind w:left="90" w:hanging="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</w:p>
        </w:tc>
      </w:tr>
    </w:tbl>
    <w:p w:rsidR="00382FC6" w:rsidRDefault="00382FC6" w:rsidP="00382FC6">
      <w:pPr>
        <w:pStyle w:val="ListParagraph"/>
        <w:shd w:val="clear" w:color="auto" w:fill="FFFFFF"/>
        <w:spacing w:after="3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56A9" w:rsidRPr="00EA6972" w:rsidRDefault="00DB56A9" w:rsidP="00DB56A9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6972">
        <w:rPr>
          <w:rFonts w:ascii="Times New Roman" w:eastAsia="Calibri" w:hAnsi="Times New Roman" w:cs="Times New Roman"/>
          <w:b/>
          <w:sz w:val="24"/>
          <w:szCs w:val="24"/>
        </w:rPr>
        <w:t>Informācija par tirgus izpētes objektu:</w:t>
      </w:r>
    </w:p>
    <w:p w:rsidR="00DB56A9" w:rsidRPr="00FC7E76" w:rsidRDefault="00DB56A9" w:rsidP="00B31619">
      <w:pPr>
        <w:pStyle w:val="ListParagraph"/>
        <w:shd w:val="clear" w:color="auto" w:fill="FFFFFF"/>
        <w:spacing w:after="360" w:line="240" w:lineRule="auto"/>
        <w:jc w:val="both"/>
        <w:rPr>
          <w:rFonts w:ascii="Helvetica" w:eastAsia="Times New Roman" w:hAnsi="Helvetica" w:cs="Times New Roman"/>
          <w:sz w:val="24"/>
          <w:szCs w:val="24"/>
          <w:lang w:eastAsia="lv-LV"/>
        </w:rPr>
      </w:pPr>
      <w:r w:rsidRPr="00EA6972">
        <w:rPr>
          <w:rFonts w:ascii="Times New Roman" w:eastAsia="Calibri" w:hAnsi="Times New Roman" w:cs="Times New Roman"/>
          <w:sz w:val="24"/>
          <w:szCs w:val="24"/>
        </w:rPr>
        <w:t>AS “</w:t>
      </w:r>
      <w:r w:rsidRPr="00FC7E76">
        <w:rPr>
          <w:rFonts w:ascii="Times New Roman" w:eastAsia="Calibri" w:hAnsi="Times New Roman" w:cs="Times New Roman"/>
          <w:sz w:val="24"/>
          <w:szCs w:val="24"/>
        </w:rPr>
        <w:t>Rēzeknes siltumtīkli” īpašumā ir divi dzelzceļa pievedceļi Nr. 84 un Nr. 85, kuri atrodas Viļakas ielā 5B, Rēzeknē. Plānotā projekta ieviešanas rezultātā, AS “Rēzeknes siltumtīkli</w:t>
      </w:r>
      <w:r w:rsidR="00AF1260" w:rsidRPr="00FC7E76">
        <w:rPr>
          <w:rFonts w:ascii="Times New Roman" w:eastAsia="Calibri" w:hAnsi="Times New Roman" w:cs="Times New Roman"/>
          <w:sz w:val="24"/>
          <w:szCs w:val="24"/>
        </w:rPr>
        <w:t>” plāno veikt</w:t>
      </w:r>
      <w:r w:rsidR="00B31619" w:rsidRPr="00FC7E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1619" w:rsidRPr="00FC7E76">
        <w:rPr>
          <w:rFonts w:ascii="Times New Roman" w:eastAsia="Calibri" w:hAnsi="Times New Roman" w:cs="Times New Roman"/>
          <w:b/>
          <w:sz w:val="24"/>
          <w:szCs w:val="24"/>
        </w:rPr>
        <w:t>viena no pievedceļiem</w:t>
      </w:r>
      <w:r w:rsidR="00FC1FB5" w:rsidRPr="00FC7E76">
        <w:rPr>
          <w:rFonts w:ascii="Times New Roman" w:eastAsia="Calibri" w:hAnsi="Times New Roman" w:cs="Times New Roman"/>
          <w:b/>
          <w:sz w:val="24"/>
          <w:szCs w:val="24"/>
        </w:rPr>
        <w:t>, un tieši, pievedceļa Nr. 85</w:t>
      </w:r>
      <w:r w:rsidRPr="00FC7E76">
        <w:rPr>
          <w:rFonts w:ascii="Times New Roman" w:eastAsia="Calibri" w:hAnsi="Times New Roman" w:cs="Times New Roman"/>
          <w:b/>
          <w:sz w:val="24"/>
          <w:szCs w:val="24"/>
        </w:rPr>
        <w:t>, atjaunošanas darbus</w:t>
      </w:r>
      <w:r w:rsidR="008B7404">
        <w:rPr>
          <w:rFonts w:ascii="Times New Roman" w:eastAsia="Calibri" w:hAnsi="Times New Roman" w:cs="Times New Roman"/>
          <w:b/>
          <w:sz w:val="24"/>
          <w:szCs w:val="24"/>
        </w:rPr>
        <w:t xml:space="preserve"> 318 metru garumā</w:t>
      </w:r>
      <w:r w:rsidRPr="00FC7E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C7E7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C0032B" w:rsidRPr="00FC7E76">
        <w:rPr>
          <w:rFonts w:ascii="Times New Roman" w:eastAsia="Calibri" w:hAnsi="Times New Roman" w:cs="Times New Roman"/>
          <w:sz w:val="24"/>
          <w:szCs w:val="24"/>
        </w:rPr>
        <w:t>skat. Rasējums SC-2</w:t>
      </w:r>
      <w:r w:rsidR="00AF1260" w:rsidRPr="00FC7E76">
        <w:rPr>
          <w:rFonts w:ascii="Times New Roman" w:eastAsia="Calibri" w:hAnsi="Times New Roman" w:cs="Times New Roman"/>
          <w:sz w:val="24"/>
          <w:szCs w:val="24"/>
        </w:rPr>
        <w:t>)</w:t>
      </w:r>
      <w:r w:rsidRPr="00FC7E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1068" w:rsidRPr="00FC7E76" w:rsidRDefault="000A1068" w:rsidP="00B3161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Tirgus izpēte tiek rīkota ar mērķi iegūt aptuveno izmaksu piedāvājumu p</w:t>
      </w:r>
      <w:r w:rsidR="00AF1260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rojekta (būvdarbu)</w:t>
      </w: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r w:rsidRPr="00FC7E7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AS “Rēzeknes siltumtīkli” īpašumā </w:t>
      </w:r>
      <w:r w:rsidR="0096504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esoša dzelzceļa pievedceļa Nr.85</w:t>
      </w:r>
      <w:r w:rsidRPr="00FC7E7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atjaunošana Viļakas ielā 5B, Rēzeknē” </w:t>
      </w:r>
      <w:r w:rsidRPr="00FC7E7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ieviešanai</w:t>
      </w:r>
      <w:r w:rsidR="00FC1FB5" w:rsidRPr="00FC7E76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pirms iepirkuma procedūras veikšanas</w:t>
      </w: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A47CB3" w:rsidRPr="00FC7E76" w:rsidRDefault="00A47CB3" w:rsidP="00B31619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ieviešanas pamat risinājumi:</w:t>
      </w:r>
    </w:p>
    <w:p w:rsidR="00A47CB3" w:rsidRPr="00FC7E76" w:rsidRDefault="00A47CB3" w:rsidP="00B31619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atja</w:t>
      </w:r>
      <w:r w:rsidR="00FC1FB5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unot dzelzceļa pievedceļu Nr. </w:t>
      </w:r>
      <w:r w:rsidR="00FC1FB5" w:rsidRPr="008B7404">
        <w:rPr>
          <w:rFonts w:ascii="Times New Roman" w:eastAsia="Times New Roman" w:hAnsi="Times New Roman" w:cs="Times New Roman"/>
          <w:sz w:val="24"/>
          <w:szCs w:val="24"/>
          <w:lang w:eastAsia="lv-LV"/>
        </w:rPr>
        <w:t>85</w:t>
      </w:r>
      <w:r w:rsidR="008B7404" w:rsidRPr="008B74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B7404" w:rsidRPr="008B740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318</w:t>
      </w:r>
      <w:r w:rsidRPr="008B740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</w:t>
      </w: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garuma robežā;</w:t>
      </w:r>
    </w:p>
    <w:p w:rsidR="00A47CB3" w:rsidRPr="00FC7E76" w:rsidRDefault="00A47CB3" w:rsidP="00B31619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atjaunot ūdens novadu no pievedceļa;</w:t>
      </w:r>
    </w:p>
    <w:p w:rsidR="00A47CB3" w:rsidRPr="00FC7E76" w:rsidRDefault="00A47CB3" w:rsidP="00B31619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atjaunot apgaismojumu.</w:t>
      </w:r>
    </w:p>
    <w:p w:rsidR="00A47CB3" w:rsidRPr="00FC7E76" w:rsidRDefault="00382FC6" w:rsidP="00C0032B">
      <w:pPr>
        <w:pStyle w:val="ListParagraph"/>
        <w:shd w:val="clear" w:color="auto" w:fill="FFFFFF"/>
        <w:spacing w:after="36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Galveno ma</w:t>
      </w:r>
      <w:r w:rsidR="00A47CB3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teri</w:t>
      </w: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ālu un normu atainojumu skatīt </w:t>
      </w:r>
      <w:r w:rsidR="00C0032B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A47CB3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.pielikumā.</w:t>
      </w:r>
    </w:p>
    <w:p w:rsidR="000A1068" w:rsidRPr="00FC7E76" w:rsidRDefault="00AF1260" w:rsidP="00B31619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Minimālās prasības dzelzceļa pievedceļa </w:t>
      </w:r>
      <w:r w:rsidR="009650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Nr.85 </w:t>
      </w: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būvniecības tehniskajam risinājumam, specifikācijai un komplektācijai ir norādītas 2.pielikumā.</w:t>
      </w:r>
    </w:p>
    <w:p w:rsidR="003D0CC2" w:rsidRPr="00FC7E76" w:rsidRDefault="003D0CC2" w:rsidP="00B3161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Tiem pretendentiem</w:t>
      </w:r>
      <w:r w:rsidR="00B31619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, kuri vēlas</w:t>
      </w: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iesniegt piedāvājumus, lai </w:t>
      </w:r>
      <w:r w:rsidR="00B31619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noteiktu pēc iespējas precīzākas izmaksas projekta ievieš</w:t>
      </w:r>
      <w:r w:rsidR="00382FC6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anai, elektroniski tiks izsūtīta informācija no</w:t>
      </w:r>
      <w:r w:rsidR="00B31619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būv</w:t>
      </w:r>
      <w:r w:rsidR="00382FC6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</w:t>
      </w:r>
      <w:r w:rsidR="00B31619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, kurā i</w:t>
      </w:r>
      <w:r w:rsidR="0096504D">
        <w:rPr>
          <w:rFonts w:ascii="Times New Roman" w:eastAsia="Times New Roman" w:hAnsi="Times New Roman" w:cs="Times New Roman"/>
          <w:sz w:val="24"/>
          <w:szCs w:val="24"/>
          <w:lang w:eastAsia="lv-LV"/>
        </w:rPr>
        <w:t>r atspoguļotas visas</w:t>
      </w:r>
      <w:proofErr w:type="gramStart"/>
      <w:r w:rsidR="009650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31619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gramEnd"/>
      <w:r w:rsidR="0096504D">
        <w:rPr>
          <w:rFonts w:ascii="Times New Roman" w:eastAsia="Times New Roman" w:hAnsi="Times New Roman" w:cs="Times New Roman"/>
          <w:sz w:val="24"/>
          <w:szCs w:val="24"/>
          <w:lang w:eastAsia="lv-LV"/>
        </w:rPr>
        <w:t>būv</w:t>
      </w:r>
      <w:r w:rsidR="00B31619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darbu organizācijas. Lūdzam ņemt vērā, ka būvprojekts ir izstrādāts divu pievedceļu Nr.84 un Nr. 85 atjaunošanai, bet Pasūtītājs vēlas </w:t>
      </w:r>
      <w:r w:rsidR="00382FC6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atjaunot tikai pievedceļu Nr. 85</w:t>
      </w:r>
      <w:r w:rsidR="00B31619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, līdz ar to visas darbu izmaksas ir attiecināmas tikai uz viena pievedceļa atjaunošanas darbiem.</w:t>
      </w: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82FC6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Pieprasījumu par būvprojekta saņemšanu, lūdzam sūtīt atbildīgajai pe</w:t>
      </w:r>
      <w:r w:rsidR="009650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rsonai Sandrai </w:t>
      </w:r>
      <w:proofErr w:type="spellStart"/>
      <w:r w:rsidR="0096504D">
        <w:rPr>
          <w:rFonts w:ascii="Times New Roman" w:eastAsia="Times New Roman" w:hAnsi="Times New Roman" w:cs="Times New Roman"/>
          <w:sz w:val="24"/>
          <w:szCs w:val="24"/>
          <w:lang w:eastAsia="lv-LV"/>
        </w:rPr>
        <w:t>Rodei</w:t>
      </w:r>
      <w:proofErr w:type="spellEnd"/>
      <w:r w:rsidR="0096504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 e-pastu:</w:t>
      </w:r>
      <w:r w:rsidR="00382FC6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hyperlink r:id="rId8" w:history="1">
        <w:r w:rsidR="0096504D" w:rsidRPr="001E789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sandra@rezeknessiltumtikli.lv</w:t>
        </w:r>
      </w:hyperlink>
      <w:proofErr w:type="gramStart"/>
      <w:r w:rsidR="0096504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 xml:space="preserve"> .</w:t>
      </w:r>
      <w:proofErr w:type="gramEnd"/>
    </w:p>
    <w:p w:rsidR="00382FC6" w:rsidRPr="00FC7E76" w:rsidRDefault="00382FC6" w:rsidP="00382FC6">
      <w:pPr>
        <w:pStyle w:val="ListParagraph"/>
        <w:numPr>
          <w:ilvl w:val="0"/>
          <w:numId w:val="1"/>
        </w:num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Papildus </w:t>
      </w:r>
      <w:r w:rsidR="00C0032B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piedāvājumā </w:t>
      </w: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lūdzam sni</w:t>
      </w:r>
      <w:r w:rsidR="00C0032B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egt informāciju par</w:t>
      </w: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dzel</w:t>
      </w:r>
      <w:r w:rsidR="0096504D">
        <w:rPr>
          <w:rFonts w:ascii="Times New Roman" w:eastAsia="Times New Roman" w:hAnsi="Times New Roman" w:cs="Times New Roman"/>
          <w:sz w:val="24"/>
          <w:szCs w:val="24"/>
          <w:lang w:eastAsia="lv-LV"/>
        </w:rPr>
        <w:t>zceļa pievedceļa atjaunošanas darbu</w:t>
      </w:r>
      <w:r w:rsidR="00C0032B"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provizorisko </w:t>
      </w:r>
      <w:r w:rsidRPr="00FC7E76">
        <w:rPr>
          <w:rFonts w:ascii="Times New Roman" w:eastAsia="Times New Roman" w:hAnsi="Times New Roman" w:cs="Times New Roman"/>
          <w:sz w:val="24"/>
          <w:szCs w:val="24"/>
          <w:lang w:eastAsia="lv-LV"/>
        </w:rPr>
        <w:t>veikšanas termiņu.</w:t>
      </w:r>
    </w:p>
    <w:p w:rsidR="00A47CB3" w:rsidRPr="00FC7E76" w:rsidRDefault="00A47CB3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Pr="00FC7E7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Pr="00FC7E7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Pr="00FC7E7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Pr="00FC7E7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Pr="00FC7E7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Pr="00FC7E7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382FC6" w:rsidRDefault="00382FC6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A47CB3" w:rsidRPr="00A47CB3" w:rsidRDefault="00C0032B" w:rsidP="00A47CB3">
      <w:pPr>
        <w:pStyle w:val="ListParagraph"/>
        <w:shd w:val="clear" w:color="auto" w:fill="FFFFFF"/>
        <w:spacing w:after="360" w:line="240" w:lineRule="auto"/>
        <w:ind w:left="14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A47CB3" w:rsidRPr="00A47CB3">
        <w:rPr>
          <w:rFonts w:ascii="Times New Roman" w:hAnsi="Times New Roman" w:cs="Times New Roman"/>
          <w:b/>
          <w:bCs/>
          <w:sz w:val="24"/>
          <w:szCs w:val="24"/>
        </w:rPr>
        <w:t>.pielikums</w:t>
      </w:r>
    </w:p>
    <w:p w:rsidR="00A47CB3" w:rsidRDefault="00A47CB3" w:rsidP="00FB0D68">
      <w:pPr>
        <w:pStyle w:val="ListParagraph"/>
        <w:shd w:val="clear" w:color="auto" w:fill="FFFFFF"/>
        <w:spacing w:after="360" w:line="240" w:lineRule="auto"/>
        <w:ind w:left="1440"/>
        <w:jc w:val="both"/>
        <w:rPr>
          <w:b/>
          <w:bCs/>
          <w:sz w:val="23"/>
          <w:szCs w:val="23"/>
        </w:rPr>
      </w:pPr>
    </w:p>
    <w:p w:rsidR="00FB0D68" w:rsidRDefault="00A47CB3" w:rsidP="00C10E66">
      <w:pPr>
        <w:pStyle w:val="ListParagraph"/>
        <w:shd w:val="clear" w:color="auto" w:fill="FFFFFF"/>
        <w:spacing w:after="36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Galvenie materiāli un normas</w:t>
      </w:r>
    </w:p>
    <w:p w:rsidR="00D26770" w:rsidRPr="00D26770" w:rsidRDefault="00D26770" w:rsidP="00C10E66">
      <w:pPr>
        <w:pStyle w:val="ListParagraph"/>
        <w:shd w:val="clear" w:color="auto" w:fill="FFFFFF"/>
        <w:spacing w:after="360" w:line="240" w:lineRule="auto"/>
        <w:ind w:left="0"/>
        <w:jc w:val="center"/>
        <w:rPr>
          <w:rFonts w:ascii="Times New Roman" w:eastAsia="Times New Roman" w:hAnsi="Times New Roman" w:cs="Times New Roman"/>
          <w:color w:val="454545"/>
          <w:sz w:val="24"/>
          <w:szCs w:val="24"/>
          <w:lang w:eastAsia="lv-LV"/>
        </w:rPr>
      </w:pPr>
      <w:bookmarkStart w:id="0" w:name="_GoBack"/>
      <w:r w:rsidRPr="00D26770">
        <w:rPr>
          <w:rFonts w:ascii="Times New Roman" w:hAnsi="Times New Roman" w:cs="Times New Roman"/>
          <w:bCs/>
          <w:sz w:val="24"/>
          <w:szCs w:val="24"/>
        </w:rPr>
        <w:t>(paredzēti divu pievedceļu Nr.84 un Nr.85 atjaunošanai)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3317"/>
        <w:gridCol w:w="2074"/>
        <w:gridCol w:w="2074"/>
      </w:tblGrid>
      <w:tr w:rsidR="00A47CB3" w:rsidTr="00C0032B">
        <w:trPr>
          <w:trHeight w:val="245"/>
        </w:trPr>
        <w:tc>
          <w:tcPr>
            <w:tcW w:w="501" w:type="pct"/>
          </w:tcPr>
          <w:bookmarkEnd w:id="0"/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Nr. </w:t>
            </w:r>
          </w:p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p.k.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Nosaukums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Mērvienība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Rādītāji </w:t>
            </w:r>
          </w:p>
        </w:tc>
      </w:tr>
      <w:tr w:rsidR="00A47CB3" w:rsidTr="00C0032B">
        <w:trPr>
          <w:trHeight w:val="125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4 </w:t>
            </w:r>
          </w:p>
        </w:tc>
      </w:tr>
      <w:tr w:rsidR="00A47CB3" w:rsidTr="00C0032B">
        <w:trPr>
          <w:trHeight w:val="128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Pievedceļa kategorija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 </w:t>
            </w:r>
          </w:p>
        </w:tc>
      </w:tr>
      <w:tr w:rsidR="00A47CB3" w:rsidTr="00C0032B">
        <w:trPr>
          <w:trHeight w:val="123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Minimālais rādiuss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180 </w:t>
            </w:r>
          </w:p>
        </w:tc>
      </w:tr>
      <w:tr w:rsidR="00A47CB3" w:rsidTr="00C0032B">
        <w:trPr>
          <w:trHeight w:val="145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Lielākais slīpuma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0/00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5.6 </w:t>
            </w:r>
          </w:p>
        </w:tc>
      </w:tr>
      <w:tr w:rsidR="00A47CB3" w:rsidTr="00C0032B">
        <w:trPr>
          <w:trHeight w:val="128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Zemes klātnes platums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5.8 </w:t>
            </w:r>
          </w:p>
        </w:tc>
      </w:tr>
      <w:tr w:rsidR="00A47CB3" w:rsidTr="00C0032B">
        <w:trPr>
          <w:trHeight w:val="127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Sliežu tips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R65 (lietoti) </w:t>
            </w:r>
          </w:p>
        </w:tc>
      </w:tr>
      <w:tr w:rsidR="00A47CB3" w:rsidTr="00C0032B">
        <w:trPr>
          <w:trHeight w:val="247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Pārmijas tips, marka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R65 1/9 – jaunā (labā) </w:t>
            </w:r>
          </w:p>
        </w:tc>
      </w:tr>
      <w:tr w:rsidR="00A47CB3" w:rsidTr="00C0032B">
        <w:trPr>
          <w:trHeight w:val="799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Gulšņu tips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koka ar D2 tipa stiprinājumiem un </w:t>
            </w:r>
            <w:proofErr w:type="spellStart"/>
            <w:r>
              <w:rPr>
                <w:sz w:val="23"/>
                <w:szCs w:val="23"/>
              </w:rPr>
              <w:t>dzelzbetona</w:t>
            </w:r>
            <w:proofErr w:type="spellEnd"/>
            <w:r>
              <w:rPr>
                <w:sz w:val="23"/>
                <w:szCs w:val="23"/>
              </w:rPr>
              <w:t xml:space="preserve"> ar KB tipa stiprinājumiem </w:t>
            </w:r>
          </w:p>
        </w:tc>
      </w:tr>
      <w:tr w:rsidR="00A47CB3" w:rsidTr="00C0032B">
        <w:trPr>
          <w:trHeight w:val="247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Gulšņu epīra taisnē un līknēs ar rādiusu vairāk par 300 m un materiāls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gab./km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1600 </w:t>
            </w:r>
          </w:p>
          <w:p w:rsidR="00A47CB3" w:rsidRDefault="00A47CB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dzelzbetona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A47CB3" w:rsidTr="00C0032B">
        <w:trPr>
          <w:trHeight w:val="247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Gulšņu epīra līknēs ar rādiusu mazāk par 300 m un materiāls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gab./km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1840 </w:t>
            </w:r>
          </w:p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koka </w:t>
            </w:r>
          </w:p>
        </w:tc>
      </w:tr>
      <w:tr w:rsidR="00A47CB3" w:rsidTr="00C0032B">
        <w:trPr>
          <w:trHeight w:val="385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Balasta veids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granīta vai akmeņu šķembas </w:t>
            </w:r>
          </w:p>
        </w:tc>
      </w:tr>
      <w:tr w:rsidR="00A47CB3" w:rsidTr="00C0032B">
        <w:trPr>
          <w:trHeight w:val="128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Balasta kārta zem gulšņiem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cm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rFonts w:ascii="Cambria Math" w:hAnsi="Cambria Math" w:cs="Cambria Math"/>
                <w:sz w:val="23"/>
                <w:szCs w:val="23"/>
              </w:rPr>
            </w:pPr>
            <w:r>
              <w:rPr>
                <w:rFonts w:ascii="Cambria Math" w:hAnsi="Cambria Math" w:cs="Cambria Math"/>
                <w:sz w:val="23"/>
                <w:szCs w:val="23"/>
              </w:rPr>
              <w:t xml:space="preserve">20/20 </w:t>
            </w:r>
          </w:p>
        </w:tc>
      </w:tr>
      <w:tr w:rsidR="00A47CB3" w:rsidTr="00C0032B">
        <w:trPr>
          <w:trHeight w:val="247"/>
        </w:trPr>
        <w:tc>
          <w:tcPr>
            <w:tcW w:w="501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1999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Strupceļa atbalsts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</w:tc>
        <w:tc>
          <w:tcPr>
            <w:tcW w:w="1250" w:type="pct"/>
          </w:tcPr>
          <w:p w:rsidR="00A47CB3" w:rsidRDefault="00A47C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tipveida ar balastu prizmu </w:t>
            </w:r>
          </w:p>
        </w:tc>
      </w:tr>
    </w:tbl>
    <w:p w:rsidR="000A1068" w:rsidRDefault="000A1068" w:rsidP="00AD6D82">
      <w:pPr>
        <w:shd w:val="clear" w:color="auto" w:fill="FFFFFF"/>
        <w:spacing w:after="360" w:line="240" w:lineRule="auto"/>
      </w:pPr>
    </w:p>
    <w:p w:rsidR="00C0032B" w:rsidRDefault="00C0032B">
      <w:r>
        <w:br w:type="page"/>
      </w:r>
    </w:p>
    <w:p w:rsidR="00AD6D82" w:rsidRDefault="00AD6D82" w:rsidP="00AD6D82">
      <w:pPr>
        <w:tabs>
          <w:tab w:val="left" w:pos="8789"/>
        </w:tabs>
        <w:spacing w:after="0" w:line="240" w:lineRule="auto"/>
        <w:ind w:right="45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2.pielikums</w:t>
      </w:r>
    </w:p>
    <w:p w:rsidR="0096504D" w:rsidRDefault="0096504D" w:rsidP="00AD6D82">
      <w:pPr>
        <w:tabs>
          <w:tab w:val="left" w:pos="8789"/>
        </w:tabs>
        <w:spacing w:after="0" w:line="240" w:lineRule="auto"/>
        <w:ind w:right="45"/>
        <w:jc w:val="right"/>
        <w:rPr>
          <w:rFonts w:ascii="Times New Roman" w:eastAsia="Calibri" w:hAnsi="Times New Roman" w:cs="Times New Roman"/>
          <w:b/>
        </w:rPr>
      </w:pPr>
    </w:p>
    <w:p w:rsidR="00AD6D82" w:rsidRPr="00AD6D82" w:rsidRDefault="00382FC6" w:rsidP="00AD6D82">
      <w:pPr>
        <w:tabs>
          <w:tab w:val="left" w:pos="8789"/>
        </w:tabs>
        <w:spacing w:after="0" w:line="240" w:lineRule="auto"/>
        <w:ind w:right="45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Būvprojekts: “</w:t>
      </w:r>
      <w:r w:rsidR="00AD6D82" w:rsidRPr="00AD6D82">
        <w:rPr>
          <w:rFonts w:ascii="Times New Roman" w:eastAsia="Calibri" w:hAnsi="Times New Roman" w:cs="Times New Roman"/>
          <w:b/>
        </w:rPr>
        <w:t>Pievedceļu Nr. 84 un Nr. 85 atjaunošana Viļakas ielā 5B, Rēzeknē”</w:t>
      </w:r>
    </w:p>
    <w:p w:rsidR="00AD6D82" w:rsidRPr="00AD6D82" w:rsidRDefault="00AD6D82" w:rsidP="00AD6D82">
      <w:pPr>
        <w:tabs>
          <w:tab w:val="left" w:pos="8789"/>
        </w:tabs>
        <w:spacing w:after="0" w:line="240" w:lineRule="auto"/>
        <w:ind w:right="4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6D82" w:rsidRPr="00AD6D82" w:rsidRDefault="00AD6D82" w:rsidP="00AD6D82">
      <w:pPr>
        <w:tabs>
          <w:tab w:val="left" w:pos="8789"/>
        </w:tabs>
        <w:spacing w:after="0" w:line="240" w:lineRule="auto"/>
        <w:ind w:right="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6D82">
        <w:rPr>
          <w:rFonts w:ascii="Times New Roman" w:eastAsia="Calibri" w:hAnsi="Times New Roman" w:cs="Times New Roman"/>
          <w:b/>
          <w:sz w:val="24"/>
          <w:szCs w:val="24"/>
        </w:rPr>
        <w:t>Būvdarbu apjomi</w:t>
      </w:r>
    </w:p>
    <w:p w:rsidR="00AD6D82" w:rsidRPr="00AD6D82" w:rsidRDefault="00AD6D82" w:rsidP="00AD6D82">
      <w:pPr>
        <w:tabs>
          <w:tab w:val="left" w:pos="8789"/>
        </w:tabs>
        <w:spacing w:after="0" w:line="240" w:lineRule="auto"/>
        <w:ind w:right="4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D6D82">
        <w:rPr>
          <w:rFonts w:ascii="Times New Roman" w:eastAsia="Calibri" w:hAnsi="Times New Roman" w:cs="Times New Roman"/>
          <w:sz w:val="24"/>
          <w:szCs w:val="24"/>
        </w:rPr>
        <w:t>(I. kārta. Sliežu ceļa Nr. 85 atjaunošana).</w:t>
      </w:r>
    </w:p>
    <w:p w:rsidR="00AD6D82" w:rsidRPr="00AD6D82" w:rsidRDefault="00AD6D82" w:rsidP="00AD6D82">
      <w:pPr>
        <w:tabs>
          <w:tab w:val="left" w:pos="8789"/>
        </w:tabs>
        <w:spacing w:after="0" w:line="240" w:lineRule="auto"/>
        <w:ind w:right="4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52"/>
        <w:gridCol w:w="5134"/>
        <w:gridCol w:w="1448"/>
        <w:gridCol w:w="1062"/>
      </w:tblGrid>
      <w:tr w:rsidR="00AD6D82" w:rsidRPr="00AD6D82" w:rsidTr="00B52675">
        <w:trPr>
          <w:trHeight w:val="757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5134" w:type="dxa"/>
            <w:tcBorders>
              <w:bottom w:val="single" w:sz="4" w:space="0" w:color="auto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Mērvienība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Apjoms</w:t>
            </w:r>
          </w:p>
        </w:tc>
      </w:tr>
      <w:tr w:rsidR="00AD6D82" w:rsidRPr="00AD6D82" w:rsidTr="00B52675">
        <w:trPr>
          <w:trHeight w:val="378"/>
        </w:trPr>
        <w:tc>
          <w:tcPr>
            <w:tcW w:w="652" w:type="dxa"/>
            <w:tcBorders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134" w:type="dxa"/>
            <w:tcBorders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Sliežu ceļa demontāža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D82" w:rsidRPr="00AD6D82" w:rsidTr="00B52675">
        <w:trPr>
          <w:trHeight w:val="378"/>
        </w:trPr>
        <w:tc>
          <w:tcPr>
            <w:tcW w:w="65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134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Sliežu ceļa no R50 tipa sliedes uz koka gulšņu demontāža</w:t>
            </w:r>
          </w:p>
        </w:tc>
        <w:tc>
          <w:tcPr>
            <w:tcW w:w="1448" w:type="dxa"/>
            <w:tcBorders>
              <w:top w:val="nil"/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062" w:type="dxa"/>
            <w:tcBorders>
              <w:top w:val="nil"/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0.325</w:t>
            </w:r>
          </w:p>
        </w:tc>
      </w:tr>
      <w:tr w:rsidR="00AD6D82" w:rsidRPr="00AD6D82" w:rsidTr="00B52675">
        <w:trPr>
          <w:trHeight w:val="397"/>
        </w:trPr>
        <w:tc>
          <w:tcPr>
            <w:tcW w:w="65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34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Pārmijas pārvedas R50tipa 1/6 markas demontāža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kompl</w:t>
            </w:r>
            <w:proofErr w:type="spellEnd"/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D6D82" w:rsidRPr="00AD6D82" w:rsidTr="00B52675">
        <w:trPr>
          <w:trHeight w:val="757"/>
        </w:trPr>
        <w:tc>
          <w:tcPr>
            <w:tcW w:w="652" w:type="dxa"/>
            <w:tcBorders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134" w:type="dxa"/>
            <w:tcBorders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Zemes klātne un </w:t>
            </w:r>
            <w:proofErr w:type="spellStart"/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ūdensnovadi</w:t>
            </w:r>
            <w:proofErr w:type="spellEnd"/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D82" w:rsidRPr="00AD6D82" w:rsidTr="00B52675">
        <w:trPr>
          <w:trHeight w:val="479"/>
        </w:trPr>
        <w:tc>
          <w:tcPr>
            <w:tcW w:w="65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134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Zemes klātnes izgriešana līdz 0.60 m dziļumā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AD6D8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AD6D82" w:rsidRPr="00AD6D82" w:rsidTr="00B52675">
        <w:trPr>
          <w:trHeight w:val="757"/>
        </w:trPr>
        <w:tc>
          <w:tcPr>
            <w:tcW w:w="65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134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Zemes klātnes piebēršana ar drenējošo grunti un blīvēšana</w:t>
            </w:r>
          </w:p>
        </w:tc>
        <w:tc>
          <w:tcPr>
            <w:tcW w:w="1448" w:type="dxa"/>
            <w:tcBorders>
              <w:top w:val="nil"/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AD6D8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2" w:type="dxa"/>
            <w:tcBorders>
              <w:top w:val="nil"/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</w:tr>
      <w:tr w:rsidR="00AD6D82" w:rsidRPr="00AD6D82" w:rsidTr="00B52675">
        <w:trPr>
          <w:trHeight w:val="497"/>
        </w:trPr>
        <w:tc>
          <w:tcPr>
            <w:tcW w:w="65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134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Esošo </w:t>
            </w:r>
            <w:proofErr w:type="spellStart"/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dzelzbetona</w:t>
            </w:r>
            <w:proofErr w:type="spellEnd"/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teknes tīrīšana</w:t>
            </w:r>
            <w:proofErr w:type="gramStart"/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t. m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</w:tr>
      <w:tr w:rsidR="00AD6D82" w:rsidRPr="00AD6D82" w:rsidTr="00B52675">
        <w:trPr>
          <w:trHeight w:val="497"/>
        </w:trPr>
        <w:tc>
          <w:tcPr>
            <w:tcW w:w="65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134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Projekta </w:t>
            </w:r>
            <w:proofErr w:type="spellStart"/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dzelzbetona</w:t>
            </w:r>
            <w:proofErr w:type="spellEnd"/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teknes H-0.75 m ielikšana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t. m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AD6D82" w:rsidRPr="00AD6D82" w:rsidTr="00B52675">
        <w:trPr>
          <w:trHeight w:val="497"/>
        </w:trPr>
        <w:tc>
          <w:tcPr>
            <w:tcW w:w="652" w:type="dxa"/>
            <w:tcBorders>
              <w:top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134" w:type="dxa"/>
            <w:tcBorders>
              <w:top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Novadgrāvju rakšana</w:t>
            </w:r>
          </w:p>
        </w:tc>
        <w:tc>
          <w:tcPr>
            <w:tcW w:w="1448" w:type="dxa"/>
            <w:tcBorders>
              <w:top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t. m</w:t>
            </w:r>
          </w:p>
        </w:tc>
        <w:tc>
          <w:tcPr>
            <w:tcW w:w="1062" w:type="dxa"/>
            <w:tcBorders>
              <w:top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</w:tr>
      <w:tr w:rsidR="00AD6D82" w:rsidRPr="00AD6D82" w:rsidTr="00B52675">
        <w:trPr>
          <w:trHeight w:val="378"/>
        </w:trPr>
        <w:tc>
          <w:tcPr>
            <w:tcW w:w="652" w:type="dxa"/>
            <w:tcBorders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134" w:type="dxa"/>
            <w:tcBorders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Sliežu ceļa virsbūve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D82" w:rsidRPr="00AD6D82" w:rsidTr="00B52675">
        <w:trPr>
          <w:trHeight w:val="467"/>
        </w:trPr>
        <w:tc>
          <w:tcPr>
            <w:tcW w:w="65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134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Parējās sliedes ielikšana (R50/R65) 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t. m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25.0</w:t>
            </w:r>
          </w:p>
        </w:tc>
      </w:tr>
      <w:tr w:rsidR="00AD6D82" w:rsidRPr="00AD6D82" w:rsidTr="00B52675">
        <w:trPr>
          <w:trHeight w:val="763"/>
        </w:trPr>
        <w:tc>
          <w:tcPr>
            <w:tcW w:w="65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134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Sliežu ceļa no R65 tipa sliedes uz koka gulšņiem ar epīru 1840 gab./km ielīkšana</w:t>
            </w:r>
          </w:p>
        </w:tc>
        <w:tc>
          <w:tcPr>
            <w:tcW w:w="1448" w:type="dxa"/>
            <w:tcBorders>
              <w:top w:val="nil"/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062" w:type="dxa"/>
            <w:tcBorders>
              <w:top w:val="nil"/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0.112</w:t>
            </w:r>
          </w:p>
        </w:tc>
      </w:tr>
      <w:tr w:rsidR="00AD6D82" w:rsidRPr="00AD6D82" w:rsidTr="00B52675">
        <w:trPr>
          <w:trHeight w:val="777"/>
        </w:trPr>
        <w:tc>
          <w:tcPr>
            <w:tcW w:w="65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134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Sliežu ceļa no R65 tipa sliedes uz dz. b. gulšņiem ar epīru 1600 gab./km ielīkšana</w:t>
            </w:r>
          </w:p>
        </w:tc>
        <w:tc>
          <w:tcPr>
            <w:tcW w:w="1448" w:type="dxa"/>
            <w:tcBorders>
              <w:top w:val="nil"/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062" w:type="dxa"/>
            <w:tcBorders>
              <w:top w:val="nil"/>
              <w:bottom w:val="nil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0.181</w:t>
            </w:r>
          </w:p>
        </w:tc>
      </w:tr>
      <w:tr w:rsidR="00AD6D82" w:rsidRPr="00AD6D82" w:rsidTr="00B52675">
        <w:trPr>
          <w:trHeight w:val="385"/>
        </w:trPr>
        <w:tc>
          <w:tcPr>
            <w:tcW w:w="65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134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Sliežu ceļa </w:t>
            </w:r>
            <w:proofErr w:type="spellStart"/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balastēšana</w:t>
            </w:r>
            <w:proofErr w:type="spellEnd"/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 šķembu vai akmeņu balastu </w:t>
            </w: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AD6D8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AD6D82" w:rsidRPr="00AD6D82" w:rsidTr="00B52675">
        <w:trPr>
          <w:trHeight w:val="441"/>
        </w:trPr>
        <w:tc>
          <w:tcPr>
            <w:tcW w:w="652" w:type="dxa"/>
            <w:tcBorders>
              <w:top w:val="nil"/>
              <w:bottom w:val="single" w:sz="4" w:space="0" w:color="auto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134" w:type="dxa"/>
            <w:tcBorders>
              <w:top w:val="nil"/>
              <w:bottom w:val="single" w:sz="4" w:space="0" w:color="auto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Strupceļa atbalsta uzstādīšana</w:t>
            </w:r>
          </w:p>
        </w:tc>
        <w:tc>
          <w:tcPr>
            <w:tcW w:w="1448" w:type="dxa"/>
            <w:tcBorders>
              <w:top w:val="nil"/>
              <w:bottom w:val="single" w:sz="4" w:space="0" w:color="auto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gab.</w:t>
            </w:r>
          </w:p>
        </w:tc>
        <w:tc>
          <w:tcPr>
            <w:tcW w:w="1062" w:type="dxa"/>
            <w:tcBorders>
              <w:top w:val="nil"/>
              <w:bottom w:val="single" w:sz="4" w:space="0" w:color="auto"/>
            </w:tcBorders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D6D82" w:rsidRPr="00AD6D82" w:rsidTr="00B52675">
        <w:trPr>
          <w:trHeight w:val="441"/>
        </w:trPr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4" w:type="dxa"/>
            <w:tcBorders>
              <w:top w:val="single" w:sz="4" w:space="0" w:color="auto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Apgaismojuma ierīkošana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objekts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:rsidR="00AD6D82" w:rsidRPr="00AD6D82" w:rsidRDefault="00AD6D82" w:rsidP="00AD6D82">
            <w:pPr>
              <w:tabs>
                <w:tab w:val="left" w:pos="8789"/>
              </w:tabs>
              <w:ind w:right="4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D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AD6D82" w:rsidRPr="00AD6D82" w:rsidRDefault="00AD6D82" w:rsidP="00AD6D8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6D82" w:rsidRPr="00AD6D82" w:rsidRDefault="00AD6D82" w:rsidP="00AD6D8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6D82" w:rsidRPr="00AD6D82" w:rsidRDefault="00AD6D82" w:rsidP="00AD6D8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6D82" w:rsidRPr="00AD6D82" w:rsidRDefault="00AD6D82" w:rsidP="00AD6D8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6D82" w:rsidRPr="00AD6D82" w:rsidRDefault="00AD6D82" w:rsidP="00AD6D8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D82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AD6D82" w:rsidRPr="00AD6D82" w:rsidRDefault="00AD6D82" w:rsidP="0096504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D6D82" w:rsidRPr="00AD6D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3984"/>
    <w:multiLevelType w:val="multilevel"/>
    <w:tmpl w:val="CAAA75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1" w15:restartNumberingAfterBreak="0">
    <w:nsid w:val="3B78395A"/>
    <w:multiLevelType w:val="hybridMultilevel"/>
    <w:tmpl w:val="D6B8EF4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C4253A"/>
    <w:multiLevelType w:val="hybridMultilevel"/>
    <w:tmpl w:val="DAB2995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68"/>
    <w:rsid w:val="00042B6A"/>
    <w:rsid w:val="000A1068"/>
    <w:rsid w:val="0018209C"/>
    <w:rsid w:val="00382FC6"/>
    <w:rsid w:val="003D0CC2"/>
    <w:rsid w:val="0057597A"/>
    <w:rsid w:val="005D4BFA"/>
    <w:rsid w:val="008B7404"/>
    <w:rsid w:val="0096504D"/>
    <w:rsid w:val="00A47CB3"/>
    <w:rsid w:val="00AD6D82"/>
    <w:rsid w:val="00AF1260"/>
    <w:rsid w:val="00B31619"/>
    <w:rsid w:val="00B810A7"/>
    <w:rsid w:val="00C0032B"/>
    <w:rsid w:val="00C10E66"/>
    <w:rsid w:val="00D26770"/>
    <w:rsid w:val="00DB56A9"/>
    <w:rsid w:val="00EA6972"/>
    <w:rsid w:val="00EC7FEE"/>
    <w:rsid w:val="00FB0D68"/>
    <w:rsid w:val="00FC1FB5"/>
    <w:rsid w:val="00FC7E76"/>
    <w:rsid w:val="00F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A9FD1-D023-40EE-B395-301326F4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0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0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AD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C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7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@rezeknessiltumtikl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ezeknessiltumtikl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zeknessiltumtikli.lv" TargetMode="External"/><Relationship Id="rId5" Type="http://schemas.openxmlformats.org/officeDocument/2006/relationships/hyperlink" Target="mailto:info@rezeknessiltumtikl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3340</Words>
  <Characters>1905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Re-Jur</dc:creator>
  <cp:keywords/>
  <dc:description/>
  <cp:lastModifiedBy>Re-Jur</cp:lastModifiedBy>
  <cp:revision>14</cp:revision>
  <cp:lastPrinted>2020-06-18T07:41:00Z</cp:lastPrinted>
  <dcterms:created xsi:type="dcterms:W3CDTF">2020-06-17T08:09:00Z</dcterms:created>
  <dcterms:modified xsi:type="dcterms:W3CDTF">2020-06-19T06:56:00Z</dcterms:modified>
</cp:coreProperties>
</file>