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E3E0" w14:textId="77777777" w:rsidR="00526266" w:rsidRDefault="00526266" w:rsidP="00526266">
      <w:pPr>
        <w:spacing w:before="141" w:line="242" w:lineRule="auto"/>
        <w:ind w:left="7938" w:firstLine="63"/>
        <w:jc w:val="center"/>
        <w:rPr>
          <w:sz w:val="17"/>
        </w:rPr>
      </w:pPr>
      <w:r>
        <w:rPr>
          <w:noProof/>
          <w:lang w:eastAsia="lv-LV"/>
        </w:rPr>
        <w:drawing>
          <wp:anchor distT="0" distB="0" distL="0" distR="0" simplePos="0" relativeHeight="251659264" behindDoc="1" locked="0" layoutInCell="1" allowOverlap="1" wp14:anchorId="38EB19FF" wp14:editId="2E5125B4">
            <wp:simplePos x="0" y="0"/>
            <wp:positionH relativeFrom="page">
              <wp:posOffset>0</wp:posOffset>
            </wp:positionH>
            <wp:positionV relativeFrom="page">
              <wp:posOffset>-581025</wp:posOffset>
            </wp:positionV>
            <wp:extent cx="7569505" cy="11251096"/>
            <wp:effectExtent l="0" t="0" r="0" b="762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7569505" cy="11251096"/>
                    </a:xfrm>
                    <a:prstGeom prst="rect">
                      <a:avLst/>
                    </a:prstGeom>
                  </pic:spPr>
                </pic:pic>
              </a:graphicData>
            </a:graphic>
            <wp14:sizeRelV relativeFrom="margin">
              <wp14:pctHeight>0</wp14:pctHeight>
            </wp14:sizeRelV>
          </wp:anchor>
        </w:drawing>
      </w:r>
      <w:bookmarkStart w:id="0" w:name="Page_3"/>
      <w:bookmarkEnd w:id="0"/>
      <w:r>
        <w:rPr>
          <w:color w:val="151616"/>
          <w:sz w:val="17"/>
        </w:rPr>
        <w:t xml:space="preserve"> Sabiedrība  ar  ierobežotu atbildību</w:t>
      </w:r>
    </w:p>
    <w:p w14:paraId="6F16CDE8" w14:textId="77777777" w:rsidR="00526266" w:rsidRPr="00DB4A6F" w:rsidRDefault="00526266" w:rsidP="00526266">
      <w:pPr>
        <w:tabs>
          <w:tab w:val="left" w:pos="7926"/>
        </w:tabs>
        <w:spacing w:before="214"/>
        <w:rPr>
          <w:sz w:val="24"/>
          <w:szCs w:val="24"/>
        </w:rPr>
      </w:pPr>
      <w:r w:rsidRPr="00DB4A6F">
        <w:rPr>
          <w:sz w:val="28"/>
          <w:szCs w:val="28"/>
        </w:rPr>
        <w:t xml:space="preserve">                                                 </w:t>
      </w:r>
      <w:r>
        <w:rPr>
          <w:sz w:val="28"/>
          <w:szCs w:val="28"/>
        </w:rPr>
        <w:t xml:space="preserve">        </w:t>
      </w:r>
      <w:r w:rsidRPr="00DB4A6F">
        <w:rPr>
          <w:sz w:val="28"/>
          <w:szCs w:val="28"/>
        </w:rPr>
        <w:t xml:space="preserve"> </w:t>
      </w:r>
      <w:r>
        <w:rPr>
          <w:sz w:val="28"/>
          <w:szCs w:val="28"/>
        </w:rPr>
        <w:t xml:space="preserve">     </w:t>
      </w:r>
      <w:r w:rsidRPr="00DB4A6F">
        <w:rPr>
          <w:sz w:val="28"/>
          <w:szCs w:val="28"/>
        </w:rPr>
        <w:t xml:space="preserve"> </w:t>
      </w:r>
      <w:r>
        <w:rPr>
          <w:sz w:val="28"/>
          <w:szCs w:val="28"/>
        </w:rPr>
        <w:t xml:space="preserve">  </w:t>
      </w:r>
      <w:r>
        <w:rPr>
          <w:sz w:val="24"/>
          <w:szCs w:val="24"/>
        </w:rPr>
        <w:t xml:space="preserve">RĒZEKNES                 </w:t>
      </w:r>
      <w:r w:rsidRPr="00DB4A6F">
        <w:rPr>
          <w:sz w:val="24"/>
          <w:szCs w:val="24"/>
        </w:rPr>
        <w:t>SILTUMTĪKLI</w:t>
      </w:r>
    </w:p>
    <w:p w14:paraId="58E62CB3" w14:textId="77777777" w:rsidR="00526266" w:rsidRDefault="00526266" w:rsidP="00526266">
      <w:pPr>
        <w:rPr>
          <w:sz w:val="20"/>
        </w:rPr>
      </w:pPr>
    </w:p>
    <w:p w14:paraId="114DACC4" w14:textId="77777777" w:rsidR="00526266" w:rsidRDefault="00526266" w:rsidP="00526266">
      <w:pPr>
        <w:rPr>
          <w:sz w:val="20"/>
        </w:rPr>
      </w:pPr>
    </w:p>
    <w:p w14:paraId="487A319B" w14:textId="57D3DBB5" w:rsidR="00526266" w:rsidRPr="00652451" w:rsidRDefault="00526266" w:rsidP="00526266">
      <w:pPr>
        <w:widowControl/>
        <w:autoSpaceDE/>
        <w:autoSpaceDN/>
        <w:spacing w:after="160" w:line="259" w:lineRule="auto"/>
        <w:jc w:val="center"/>
        <w:rPr>
          <w:rFonts w:ascii="Times New Roman" w:eastAsiaTheme="minorHAnsi" w:hAnsi="Times New Roman" w:cs="Times New Roman"/>
          <w:b/>
          <w:bCs/>
          <w:sz w:val="24"/>
          <w:szCs w:val="24"/>
        </w:rPr>
      </w:pPr>
      <w:r w:rsidRPr="00652451">
        <w:rPr>
          <w:rFonts w:ascii="Times New Roman" w:eastAsiaTheme="minorHAnsi" w:hAnsi="Times New Roman" w:cs="Times New Roman"/>
          <w:b/>
          <w:bCs/>
          <w:sz w:val="24"/>
          <w:szCs w:val="24"/>
        </w:rPr>
        <w:t>SKAIDROJUM</w:t>
      </w:r>
      <w:r w:rsidRPr="00652451">
        <w:rPr>
          <w:rFonts w:ascii="Times New Roman" w:eastAsiaTheme="minorHAnsi" w:hAnsi="Times New Roman" w:cs="Times New Roman"/>
          <w:b/>
          <w:bCs/>
          <w:sz w:val="24"/>
          <w:szCs w:val="24"/>
        </w:rPr>
        <w:t>S</w:t>
      </w:r>
    </w:p>
    <w:p w14:paraId="75A0831F" w14:textId="1FB51300" w:rsidR="00526266" w:rsidRPr="00652451" w:rsidRDefault="00526266" w:rsidP="00526266">
      <w:pPr>
        <w:widowControl/>
        <w:autoSpaceDE/>
        <w:autoSpaceDN/>
        <w:spacing w:after="160" w:line="259" w:lineRule="auto"/>
        <w:jc w:val="center"/>
        <w:rPr>
          <w:rFonts w:ascii="Times New Roman" w:eastAsiaTheme="minorHAnsi" w:hAnsi="Times New Roman" w:cs="Times New Roman"/>
          <w:b/>
          <w:bCs/>
          <w:sz w:val="24"/>
          <w:szCs w:val="24"/>
        </w:rPr>
      </w:pPr>
      <w:r w:rsidRPr="00652451">
        <w:rPr>
          <w:rFonts w:ascii="Times New Roman" w:eastAsiaTheme="minorHAnsi" w:hAnsi="Times New Roman" w:cs="Times New Roman"/>
          <w:b/>
          <w:bCs/>
          <w:sz w:val="24"/>
          <w:szCs w:val="24"/>
        </w:rPr>
        <w:t>Par piedāvājumu atvēršanas sanāksmes atcelšanu un iesniegto piedāvājumu neatvēršanu</w:t>
      </w:r>
    </w:p>
    <w:p w14:paraId="12CDEDF7" w14:textId="3A6158B0" w:rsidR="00526266" w:rsidRPr="00652451" w:rsidRDefault="00526266" w:rsidP="00526266">
      <w:pPr>
        <w:widowControl/>
        <w:autoSpaceDE/>
        <w:autoSpaceDN/>
        <w:spacing w:after="160" w:line="259" w:lineRule="auto"/>
        <w:jc w:val="center"/>
        <w:rPr>
          <w:rFonts w:ascii="Times New Roman" w:eastAsiaTheme="minorHAnsi" w:hAnsi="Times New Roman" w:cs="Times New Roman"/>
          <w:b/>
          <w:bCs/>
          <w:sz w:val="24"/>
          <w:szCs w:val="24"/>
        </w:rPr>
      </w:pPr>
      <w:r w:rsidRPr="00652451">
        <w:rPr>
          <w:rFonts w:ascii="Times New Roman" w:eastAsiaTheme="minorHAnsi" w:hAnsi="Times New Roman" w:cs="Times New Roman"/>
          <w:b/>
          <w:bCs/>
          <w:sz w:val="24"/>
          <w:szCs w:val="24"/>
        </w:rPr>
        <w:t xml:space="preserve">saistībā ar </w:t>
      </w:r>
      <w:r w:rsidR="00652451">
        <w:rPr>
          <w:rFonts w:ascii="Times New Roman" w:eastAsiaTheme="minorHAnsi" w:hAnsi="Times New Roman" w:cs="Times New Roman"/>
          <w:b/>
          <w:bCs/>
          <w:sz w:val="24"/>
          <w:szCs w:val="24"/>
        </w:rPr>
        <w:t>pretendenta</w:t>
      </w:r>
      <w:r w:rsidRPr="00652451">
        <w:rPr>
          <w:rFonts w:ascii="Times New Roman" w:eastAsiaTheme="minorHAnsi" w:hAnsi="Times New Roman" w:cs="Times New Roman"/>
          <w:b/>
          <w:bCs/>
          <w:sz w:val="24"/>
          <w:szCs w:val="24"/>
        </w:rPr>
        <w:t xml:space="preserve"> iesniegumu par atklātā konkursa "Rēzeknes pilsētas Centra rajona katlu mājas efektivitātes paaugstināšana, aizvietojot fosilā kurināmā </w:t>
      </w:r>
      <w:proofErr w:type="spellStart"/>
      <w:r w:rsidRPr="00652451">
        <w:rPr>
          <w:rFonts w:ascii="Times New Roman" w:eastAsiaTheme="minorHAnsi" w:hAnsi="Times New Roman" w:cs="Times New Roman"/>
          <w:b/>
          <w:bCs/>
          <w:sz w:val="24"/>
          <w:szCs w:val="24"/>
        </w:rPr>
        <w:t>siltumavotu</w:t>
      </w:r>
      <w:proofErr w:type="spellEnd"/>
      <w:r w:rsidRPr="00652451">
        <w:rPr>
          <w:rFonts w:ascii="Times New Roman" w:eastAsiaTheme="minorHAnsi" w:hAnsi="Times New Roman" w:cs="Times New Roman"/>
          <w:b/>
          <w:bCs/>
          <w:sz w:val="24"/>
          <w:szCs w:val="24"/>
        </w:rPr>
        <w:t xml:space="preserve"> ar atjaunojamos energoresursus izmantojošu </w:t>
      </w:r>
      <w:proofErr w:type="spellStart"/>
      <w:r w:rsidRPr="00652451">
        <w:rPr>
          <w:rFonts w:ascii="Times New Roman" w:eastAsiaTheme="minorHAnsi" w:hAnsi="Times New Roman" w:cs="Times New Roman"/>
          <w:b/>
          <w:bCs/>
          <w:sz w:val="24"/>
          <w:szCs w:val="24"/>
        </w:rPr>
        <w:t>siltumavotu</w:t>
      </w:r>
      <w:proofErr w:type="spellEnd"/>
      <w:r w:rsidRPr="00652451">
        <w:rPr>
          <w:rFonts w:ascii="Times New Roman" w:eastAsiaTheme="minorHAnsi" w:hAnsi="Times New Roman" w:cs="Times New Roman"/>
          <w:b/>
          <w:bCs/>
          <w:sz w:val="24"/>
          <w:szCs w:val="24"/>
        </w:rPr>
        <w:t xml:space="preserve">”, </w:t>
      </w:r>
      <w:proofErr w:type="spellStart"/>
      <w:r w:rsidRPr="00652451">
        <w:rPr>
          <w:rFonts w:ascii="Times New Roman" w:eastAsiaTheme="minorHAnsi" w:hAnsi="Times New Roman" w:cs="Times New Roman"/>
          <w:b/>
          <w:bCs/>
          <w:sz w:val="24"/>
          <w:szCs w:val="24"/>
        </w:rPr>
        <w:t>id.Nr</w:t>
      </w:r>
      <w:proofErr w:type="spellEnd"/>
      <w:r w:rsidRPr="00652451">
        <w:rPr>
          <w:rFonts w:ascii="Times New Roman" w:eastAsiaTheme="minorHAnsi" w:hAnsi="Times New Roman" w:cs="Times New Roman"/>
          <w:b/>
          <w:bCs/>
          <w:sz w:val="24"/>
          <w:szCs w:val="24"/>
        </w:rPr>
        <w:t>. RS 2022/01/AK, nolikuma prasībām</w:t>
      </w:r>
    </w:p>
    <w:p w14:paraId="012ECA5E" w14:textId="77777777" w:rsidR="00526266" w:rsidRPr="00652451" w:rsidRDefault="00526266" w:rsidP="00526266">
      <w:pPr>
        <w:widowControl/>
        <w:autoSpaceDE/>
        <w:autoSpaceDN/>
        <w:spacing w:after="160" w:line="259" w:lineRule="auto"/>
        <w:rPr>
          <w:rFonts w:ascii="Times New Roman" w:eastAsiaTheme="minorHAnsi" w:hAnsi="Times New Roman" w:cs="Times New Roman"/>
          <w:sz w:val="24"/>
          <w:szCs w:val="24"/>
        </w:rPr>
      </w:pPr>
    </w:p>
    <w:p w14:paraId="7B161D03" w14:textId="7C86F85D" w:rsidR="00526266" w:rsidRPr="00652451" w:rsidRDefault="00526266" w:rsidP="00652451">
      <w:pPr>
        <w:widowControl/>
        <w:autoSpaceDE/>
        <w:autoSpaceDN/>
        <w:spacing w:after="160" w:line="259" w:lineRule="auto"/>
        <w:ind w:firstLine="851"/>
        <w:jc w:val="both"/>
        <w:rPr>
          <w:rFonts w:ascii="Times New Roman" w:eastAsiaTheme="minorHAnsi" w:hAnsi="Times New Roman" w:cs="Times New Roman"/>
          <w:sz w:val="24"/>
          <w:szCs w:val="24"/>
        </w:rPr>
      </w:pPr>
      <w:r w:rsidRPr="00652451">
        <w:rPr>
          <w:rFonts w:ascii="Times New Roman" w:eastAsiaTheme="minorHAnsi" w:hAnsi="Times New Roman" w:cs="Times New Roman"/>
          <w:sz w:val="24"/>
          <w:szCs w:val="24"/>
        </w:rPr>
        <w:t>SIA “Rēzeknes siltumtīkli” (turpmāk arī - “</w:t>
      </w:r>
      <w:r w:rsidRPr="00652451">
        <w:rPr>
          <w:rFonts w:ascii="Times New Roman" w:eastAsiaTheme="minorHAnsi" w:hAnsi="Times New Roman" w:cs="Times New Roman"/>
          <w:b/>
          <w:bCs/>
          <w:sz w:val="24"/>
          <w:szCs w:val="24"/>
        </w:rPr>
        <w:t>Pasūtītājs</w:t>
      </w:r>
      <w:r w:rsidRPr="00652451">
        <w:rPr>
          <w:rFonts w:ascii="Times New Roman" w:eastAsiaTheme="minorHAnsi" w:hAnsi="Times New Roman" w:cs="Times New Roman"/>
          <w:sz w:val="24"/>
          <w:szCs w:val="24"/>
        </w:rPr>
        <w:t>”) 2022.gada 9.jūnijā saņēma Iepirkumu uzraudzības biroja (turpmāk - “</w:t>
      </w:r>
      <w:r w:rsidRPr="00652451">
        <w:rPr>
          <w:rFonts w:ascii="Times New Roman" w:eastAsiaTheme="minorHAnsi" w:hAnsi="Times New Roman" w:cs="Times New Roman"/>
          <w:b/>
          <w:bCs/>
          <w:sz w:val="24"/>
          <w:szCs w:val="24"/>
        </w:rPr>
        <w:t>IUB</w:t>
      </w:r>
      <w:r w:rsidRPr="00652451">
        <w:rPr>
          <w:rFonts w:ascii="Times New Roman" w:eastAsiaTheme="minorHAnsi" w:hAnsi="Times New Roman" w:cs="Times New Roman"/>
          <w:sz w:val="24"/>
          <w:szCs w:val="24"/>
        </w:rPr>
        <w:t>”) 2022.gada 9.jūnija vēstuli Nr.4-2.1/919 “Par iesniegumu”, kurā norādīts, ka 2022.gada 8.jūnijā IUB saņ</w:t>
      </w:r>
      <w:r w:rsidR="005161D0" w:rsidRPr="00652451">
        <w:rPr>
          <w:rFonts w:ascii="Times New Roman" w:eastAsiaTheme="minorHAnsi" w:hAnsi="Times New Roman" w:cs="Times New Roman"/>
          <w:sz w:val="24"/>
          <w:szCs w:val="24"/>
        </w:rPr>
        <w:t>e</w:t>
      </w:r>
      <w:r w:rsidRPr="00652451">
        <w:rPr>
          <w:rFonts w:ascii="Times New Roman" w:eastAsiaTheme="minorHAnsi" w:hAnsi="Times New Roman" w:cs="Times New Roman"/>
          <w:sz w:val="24"/>
          <w:szCs w:val="24"/>
        </w:rPr>
        <w:t>m</w:t>
      </w:r>
      <w:r w:rsidRPr="00652451">
        <w:rPr>
          <w:rFonts w:ascii="Times New Roman" w:eastAsiaTheme="minorHAnsi" w:hAnsi="Times New Roman" w:cs="Times New Roman"/>
          <w:sz w:val="24"/>
          <w:szCs w:val="24"/>
        </w:rPr>
        <w:t>ts</w:t>
      </w:r>
      <w:r w:rsidRPr="00652451">
        <w:rPr>
          <w:rFonts w:ascii="Times New Roman" w:eastAsiaTheme="minorHAnsi" w:hAnsi="Times New Roman" w:cs="Times New Roman"/>
          <w:sz w:val="24"/>
          <w:szCs w:val="24"/>
        </w:rPr>
        <w:t xml:space="preserve"> </w:t>
      </w:r>
      <w:r w:rsidRPr="00652451">
        <w:rPr>
          <w:rFonts w:ascii="Times New Roman" w:eastAsiaTheme="minorHAnsi" w:hAnsi="Times New Roman" w:cs="Times New Roman"/>
          <w:sz w:val="24"/>
          <w:szCs w:val="24"/>
        </w:rPr>
        <w:t>pretendenta</w:t>
      </w:r>
      <w:r w:rsidRPr="00652451">
        <w:rPr>
          <w:rFonts w:ascii="Times New Roman" w:eastAsiaTheme="minorHAnsi" w:hAnsi="Times New Roman" w:cs="Times New Roman"/>
          <w:sz w:val="24"/>
          <w:szCs w:val="24"/>
        </w:rPr>
        <w:t xml:space="preserve"> iesniegum</w:t>
      </w:r>
      <w:r w:rsidRPr="00652451">
        <w:rPr>
          <w:rFonts w:ascii="Times New Roman" w:eastAsiaTheme="minorHAnsi" w:hAnsi="Times New Roman" w:cs="Times New Roman"/>
          <w:sz w:val="24"/>
          <w:szCs w:val="24"/>
        </w:rPr>
        <w:t>s</w:t>
      </w:r>
      <w:r w:rsidRPr="00652451">
        <w:rPr>
          <w:rFonts w:ascii="Times New Roman" w:eastAsiaTheme="minorHAnsi" w:hAnsi="Times New Roman" w:cs="Times New Roman"/>
          <w:sz w:val="24"/>
          <w:szCs w:val="24"/>
        </w:rPr>
        <w:t xml:space="preserve"> (turpmāk - “</w:t>
      </w:r>
      <w:r w:rsidRPr="00652451">
        <w:rPr>
          <w:rFonts w:ascii="Times New Roman" w:eastAsiaTheme="minorHAnsi" w:hAnsi="Times New Roman" w:cs="Times New Roman"/>
          <w:b/>
          <w:bCs/>
          <w:sz w:val="24"/>
          <w:szCs w:val="24"/>
        </w:rPr>
        <w:t>Iesniegums</w:t>
      </w:r>
      <w:r w:rsidRPr="00652451">
        <w:rPr>
          <w:rFonts w:ascii="Times New Roman" w:eastAsiaTheme="minorHAnsi" w:hAnsi="Times New Roman" w:cs="Times New Roman"/>
          <w:sz w:val="24"/>
          <w:szCs w:val="24"/>
        </w:rPr>
        <w:t>”)</w:t>
      </w:r>
      <w:r w:rsidRPr="00652451">
        <w:rPr>
          <w:rFonts w:ascii="Times New Roman" w:eastAsiaTheme="minorHAnsi" w:hAnsi="Times New Roman" w:cs="Times New Roman"/>
          <w:b/>
          <w:bCs/>
          <w:sz w:val="24"/>
          <w:szCs w:val="24"/>
        </w:rPr>
        <w:t xml:space="preserve"> </w:t>
      </w:r>
      <w:r w:rsidRPr="00652451">
        <w:rPr>
          <w:rFonts w:ascii="Times New Roman" w:eastAsiaTheme="minorHAnsi" w:hAnsi="Times New Roman" w:cs="Times New Roman"/>
          <w:sz w:val="24"/>
          <w:szCs w:val="24"/>
        </w:rPr>
        <w:t xml:space="preserve">par SIA “Rēzeknes siltumtīkli” rīkotā atklātā konkursa "Rēzeknes pilsētas Centra rajona katlu mājas efektivitātes paaugstināšana, aizvietojot fosilā kurināmā </w:t>
      </w:r>
      <w:proofErr w:type="spellStart"/>
      <w:r w:rsidRPr="00652451">
        <w:rPr>
          <w:rFonts w:ascii="Times New Roman" w:eastAsiaTheme="minorHAnsi" w:hAnsi="Times New Roman" w:cs="Times New Roman"/>
          <w:sz w:val="24"/>
          <w:szCs w:val="24"/>
        </w:rPr>
        <w:t>siltumavotu</w:t>
      </w:r>
      <w:proofErr w:type="spellEnd"/>
      <w:r w:rsidRPr="00652451">
        <w:rPr>
          <w:rFonts w:ascii="Times New Roman" w:eastAsiaTheme="minorHAnsi" w:hAnsi="Times New Roman" w:cs="Times New Roman"/>
          <w:sz w:val="24"/>
          <w:szCs w:val="24"/>
        </w:rPr>
        <w:t xml:space="preserve"> ar atjaunojamos energoresursus izmantojošu </w:t>
      </w:r>
      <w:proofErr w:type="spellStart"/>
      <w:r w:rsidRPr="00652451">
        <w:rPr>
          <w:rFonts w:ascii="Times New Roman" w:eastAsiaTheme="minorHAnsi" w:hAnsi="Times New Roman" w:cs="Times New Roman"/>
          <w:sz w:val="24"/>
          <w:szCs w:val="24"/>
        </w:rPr>
        <w:t>siltumavotu</w:t>
      </w:r>
      <w:proofErr w:type="spellEnd"/>
      <w:r w:rsidRPr="00652451">
        <w:rPr>
          <w:rFonts w:ascii="Times New Roman" w:eastAsiaTheme="minorHAnsi" w:hAnsi="Times New Roman" w:cs="Times New Roman"/>
          <w:sz w:val="24"/>
          <w:szCs w:val="24"/>
        </w:rPr>
        <w:t xml:space="preserve">”, </w:t>
      </w:r>
      <w:proofErr w:type="spellStart"/>
      <w:r w:rsidRPr="00652451">
        <w:rPr>
          <w:rFonts w:ascii="Times New Roman" w:eastAsiaTheme="minorHAnsi" w:hAnsi="Times New Roman" w:cs="Times New Roman"/>
          <w:sz w:val="24"/>
          <w:szCs w:val="24"/>
        </w:rPr>
        <w:t>id.Nr</w:t>
      </w:r>
      <w:proofErr w:type="spellEnd"/>
      <w:r w:rsidRPr="00652451">
        <w:rPr>
          <w:rFonts w:ascii="Times New Roman" w:eastAsiaTheme="minorHAnsi" w:hAnsi="Times New Roman" w:cs="Times New Roman"/>
          <w:sz w:val="24"/>
          <w:szCs w:val="24"/>
        </w:rPr>
        <w:t xml:space="preserve">. RS 2022/01/AK nolikumu. </w:t>
      </w:r>
    </w:p>
    <w:p w14:paraId="021DB2FD" w14:textId="63033C80" w:rsidR="00526266" w:rsidRPr="00652451" w:rsidRDefault="00526266" w:rsidP="00652451">
      <w:pPr>
        <w:widowControl/>
        <w:autoSpaceDE/>
        <w:autoSpaceDN/>
        <w:spacing w:after="160" w:line="259" w:lineRule="auto"/>
        <w:ind w:firstLine="851"/>
        <w:jc w:val="both"/>
        <w:rPr>
          <w:rFonts w:ascii="Times New Roman" w:eastAsiaTheme="minorHAnsi" w:hAnsi="Times New Roman" w:cs="Times New Roman"/>
          <w:noProof/>
          <w:sz w:val="24"/>
          <w:szCs w:val="24"/>
          <w:lang w:eastAsia="x-none"/>
        </w:rPr>
      </w:pPr>
      <w:r w:rsidRPr="00652451">
        <w:rPr>
          <w:rFonts w:ascii="Times New Roman" w:eastAsiaTheme="minorHAnsi" w:hAnsi="Times New Roman" w:cs="Times New Roman"/>
          <w:sz w:val="24"/>
          <w:szCs w:val="24"/>
        </w:rPr>
        <w:t xml:space="preserve">Saskaņā ar </w:t>
      </w:r>
      <w:r w:rsidRPr="00652451">
        <w:rPr>
          <w:rFonts w:ascii="Times New Roman" w:eastAsiaTheme="minorHAnsi" w:hAnsi="Times New Roman" w:cs="Times New Roman"/>
          <w:sz w:val="24"/>
          <w:szCs w:val="24"/>
        </w:rPr>
        <w:t>Sabiedrisko pakalpojumu sniedzēju iepirkumu likuma (turpmāk - “</w:t>
      </w:r>
      <w:r w:rsidRPr="00652451">
        <w:rPr>
          <w:rFonts w:ascii="Times New Roman" w:eastAsiaTheme="minorHAnsi" w:hAnsi="Times New Roman" w:cs="Times New Roman"/>
          <w:b/>
          <w:bCs/>
          <w:noProof/>
          <w:sz w:val="24"/>
          <w:szCs w:val="24"/>
          <w:lang w:val="x-none" w:eastAsia="x-none"/>
        </w:rPr>
        <w:t>SPSIL</w:t>
      </w:r>
      <w:r w:rsidRPr="00652451">
        <w:rPr>
          <w:rFonts w:ascii="Times New Roman" w:eastAsiaTheme="minorHAnsi" w:hAnsi="Times New Roman" w:cs="Times New Roman"/>
          <w:noProof/>
          <w:sz w:val="24"/>
          <w:szCs w:val="24"/>
          <w:lang w:eastAsia="x-none"/>
        </w:rPr>
        <w:t>”)</w:t>
      </w:r>
      <w:r w:rsidR="005161D0" w:rsidRPr="00652451">
        <w:rPr>
          <w:rFonts w:ascii="Times New Roman" w:eastAsiaTheme="minorHAnsi" w:hAnsi="Times New Roman" w:cs="Times New Roman"/>
          <w:noProof/>
          <w:sz w:val="24"/>
          <w:szCs w:val="24"/>
          <w:lang w:eastAsia="x-none"/>
        </w:rPr>
        <w:t xml:space="preserve"> 72.panta sesto daļu </w:t>
      </w:r>
      <w:r w:rsidR="005161D0" w:rsidRPr="00652451">
        <w:rPr>
          <w:rFonts w:ascii="Times New Roman" w:eastAsiaTheme="minorHAnsi" w:hAnsi="Times New Roman" w:cs="Times New Roman"/>
          <w:noProof/>
          <w:sz w:val="24"/>
          <w:szCs w:val="24"/>
          <w:lang w:eastAsia="x-none"/>
        </w:rPr>
        <w:t>Sabiedrisko pakalpojumu sniedzējs neslēdz iepirkuma līgumu vai vispārīgo vienošanos, kamēr nav saņemts komisijas lēmums par iesnieguma izskatīšanas rezultātiem vai administratīvās lietas izbeigšanu.</w:t>
      </w:r>
    </w:p>
    <w:p w14:paraId="0E34F2B0" w14:textId="4757BEF7" w:rsidR="005161D0" w:rsidRPr="00652451" w:rsidRDefault="005161D0" w:rsidP="00652451">
      <w:pPr>
        <w:widowControl/>
        <w:autoSpaceDE/>
        <w:autoSpaceDN/>
        <w:spacing w:after="160" w:line="259" w:lineRule="auto"/>
        <w:ind w:firstLine="851"/>
        <w:jc w:val="both"/>
        <w:rPr>
          <w:rFonts w:ascii="Times New Roman" w:eastAsiaTheme="minorHAnsi" w:hAnsi="Times New Roman" w:cs="Times New Roman"/>
          <w:sz w:val="24"/>
          <w:szCs w:val="24"/>
        </w:rPr>
      </w:pPr>
      <w:r w:rsidRPr="00652451">
        <w:rPr>
          <w:rFonts w:ascii="Times New Roman" w:eastAsiaTheme="minorHAnsi" w:hAnsi="Times New Roman" w:cs="Times New Roman"/>
          <w:sz w:val="24"/>
          <w:szCs w:val="24"/>
        </w:rPr>
        <w:t>Saskaņā ar MK noteikumu Nr. 187 “Sabiedrisko pakalpojumu sniedz</w:t>
      </w:r>
      <w:r w:rsidR="00652451" w:rsidRPr="00652451">
        <w:rPr>
          <w:rFonts w:ascii="Times New Roman" w:eastAsiaTheme="minorHAnsi" w:hAnsi="Times New Roman" w:cs="Times New Roman"/>
          <w:sz w:val="24"/>
          <w:szCs w:val="24"/>
        </w:rPr>
        <w:t>ē</w:t>
      </w:r>
      <w:r w:rsidRPr="00652451">
        <w:rPr>
          <w:rFonts w:ascii="Times New Roman" w:eastAsiaTheme="minorHAnsi" w:hAnsi="Times New Roman" w:cs="Times New Roman"/>
          <w:sz w:val="24"/>
          <w:szCs w:val="24"/>
        </w:rPr>
        <w:t xml:space="preserve">ju iepirkuma procedūru un metu konkursa norises kārtība”14.punktu </w:t>
      </w:r>
      <w:r w:rsidRPr="00652451">
        <w:rPr>
          <w:rFonts w:ascii="Times New Roman" w:eastAsiaTheme="minorHAnsi" w:hAnsi="Times New Roman" w:cs="Times New Roman"/>
          <w:sz w:val="24"/>
          <w:szCs w:val="24"/>
        </w:rPr>
        <w:t>sabiedrisko pakalpojumu sniedzējs pircēja profilā publicē informāciju par piedāvājumu atvēršanas sanāksmes atcelšanu un neatver iesniegtos piedāvājumus. </w:t>
      </w:r>
    </w:p>
    <w:p w14:paraId="786CB2D8" w14:textId="15D66BF8" w:rsidR="00652451" w:rsidRPr="00652451" w:rsidRDefault="005161D0" w:rsidP="00652451">
      <w:pPr>
        <w:widowControl/>
        <w:autoSpaceDE/>
        <w:autoSpaceDN/>
        <w:spacing w:after="160" w:line="259" w:lineRule="auto"/>
        <w:ind w:firstLine="851"/>
        <w:jc w:val="both"/>
        <w:rPr>
          <w:rFonts w:ascii="Times New Roman" w:eastAsiaTheme="minorHAnsi" w:hAnsi="Times New Roman" w:cs="Times New Roman"/>
          <w:sz w:val="24"/>
          <w:szCs w:val="24"/>
        </w:rPr>
      </w:pPr>
      <w:r w:rsidRPr="00652451">
        <w:rPr>
          <w:rFonts w:ascii="Times New Roman" w:eastAsiaTheme="minorHAnsi" w:hAnsi="Times New Roman" w:cs="Times New Roman"/>
          <w:sz w:val="24"/>
          <w:szCs w:val="24"/>
        </w:rPr>
        <w:t xml:space="preserve">Informējam, ka saskaņā ar SPSIL 72.pantu un MK noteikumu </w:t>
      </w:r>
      <w:r w:rsidRPr="00652451">
        <w:rPr>
          <w:rFonts w:ascii="Times New Roman" w:eastAsiaTheme="minorHAnsi" w:hAnsi="Times New Roman" w:cs="Times New Roman"/>
          <w:sz w:val="24"/>
          <w:szCs w:val="24"/>
        </w:rPr>
        <w:t>Nr. 187 “Sabiedrisko pakalpojumu sniedz</w:t>
      </w:r>
      <w:r w:rsidR="00652451" w:rsidRPr="00652451">
        <w:rPr>
          <w:rFonts w:ascii="Times New Roman" w:eastAsiaTheme="minorHAnsi" w:hAnsi="Times New Roman" w:cs="Times New Roman"/>
          <w:sz w:val="24"/>
          <w:szCs w:val="24"/>
        </w:rPr>
        <w:t>ē</w:t>
      </w:r>
      <w:r w:rsidRPr="00652451">
        <w:rPr>
          <w:rFonts w:ascii="Times New Roman" w:eastAsiaTheme="minorHAnsi" w:hAnsi="Times New Roman" w:cs="Times New Roman"/>
          <w:sz w:val="24"/>
          <w:szCs w:val="24"/>
        </w:rPr>
        <w:t>ju iepirkuma procedūru un metu konkursa norises kārtība”14.punktu</w:t>
      </w:r>
      <w:r w:rsidRPr="00652451">
        <w:rPr>
          <w:rFonts w:ascii="Times New Roman" w:eastAsiaTheme="minorHAnsi" w:hAnsi="Times New Roman" w:cs="Times New Roman"/>
          <w:sz w:val="24"/>
          <w:szCs w:val="24"/>
        </w:rPr>
        <w:t xml:space="preserve">, Pasūtītājs </w:t>
      </w:r>
      <w:r w:rsidRPr="00652451">
        <w:rPr>
          <w:rFonts w:ascii="Times New Roman" w:eastAsiaTheme="minorHAnsi" w:hAnsi="Times New Roman" w:cs="Times New Roman"/>
          <w:b/>
          <w:bCs/>
          <w:sz w:val="24"/>
          <w:szCs w:val="24"/>
        </w:rPr>
        <w:t>atceļ piedāvājumu atvēršanas sanāksmi</w:t>
      </w:r>
      <w:r w:rsidRPr="00652451">
        <w:rPr>
          <w:rFonts w:ascii="Times New Roman" w:eastAsiaTheme="minorHAnsi" w:hAnsi="Times New Roman" w:cs="Times New Roman"/>
          <w:sz w:val="24"/>
          <w:szCs w:val="24"/>
        </w:rPr>
        <w:t xml:space="preserve">, kura paredzēta 2022.gada 27.jūnijā pulksten 10.00 un neatver iesniegtos piedāvājumus, </w:t>
      </w:r>
      <w:r w:rsidR="00652451" w:rsidRPr="00652451">
        <w:rPr>
          <w:rFonts w:ascii="Times New Roman" w:eastAsiaTheme="minorHAnsi" w:hAnsi="Times New Roman" w:cs="Times New Roman"/>
          <w:sz w:val="24"/>
          <w:szCs w:val="24"/>
        </w:rPr>
        <w:t xml:space="preserve">kamēr nav saņemts </w:t>
      </w:r>
      <w:r w:rsidR="00652451" w:rsidRPr="00652451">
        <w:rPr>
          <w:rFonts w:ascii="Times New Roman" w:eastAsiaTheme="minorHAnsi" w:hAnsi="Times New Roman" w:cs="Times New Roman"/>
          <w:sz w:val="24"/>
          <w:szCs w:val="24"/>
        </w:rPr>
        <w:t xml:space="preserve">IUB </w:t>
      </w:r>
      <w:r w:rsidR="00652451" w:rsidRPr="00652451">
        <w:rPr>
          <w:rFonts w:ascii="Times New Roman" w:eastAsiaTheme="minorHAnsi" w:hAnsi="Times New Roman" w:cs="Times New Roman"/>
          <w:sz w:val="24"/>
          <w:szCs w:val="24"/>
        </w:rPr>
        <w:t>komisijas lēmums par iesnieguma izskatīšanas rezultātiem vai administratīvās lietas izbeigšanu.</w:t>
      </w:r>
    </w:p>
    <w:p w14:paraId="5A977EF2" w14:textId="7D15F4F6" w:rsidR="005161D0" w:rsidRPr="00652451" w:rsidRDefault="005161D0" w:rsidP="00526266">
      <w:pPr>
        <w:widowControl/>
        <w:autoSpaceDE/>
        <w:autoSpaceDN/>
        <w:spacing w:after="160" w:line="259" w:lineRule="auto"/>
        <w:jc w:val="both"/>
        <w:rPr>
          <w:rFonts w:ascii="Times New Roman" w:eastAsiaTheme="minorHAnsi" w:hAnsi="Times New Roman" w:cs="Times New Roman"/>
          <w:sz w:val="24"/>
          <w:szCs w:val="24"/>
        </w:rPr>
      </w:pPr>
    </w:p>
    <w:p w14:paraId="0353C1E0" w14:textId="3ACE02A2" w:rsidR="005161D0" w:rsidRPr="00652451" w:rsidRDefault="00652451" w:rsidP="00526266">
      <w:pPr>
        <w:widowControl/>
        <w:autoSpaceDE/>
        <w:autoSpaceDN/>
        <w:spacing w:after="160" w:line="259" w:lineRule="auto"/>
        <w:jc w:val="both"/>
        <w:rPr>
          <w:rFonts w:ascii="Times New Roman" w:eastAsiaTheme="minorHAnsi" w:hAnsi="Times New Roman" w:cs="Times New Roman"/>
          <w:sz w:val="24"/>
          <w:szCs w:val="24"/>
        </w:rPr>
      </w:pPr>
      <w:r w:rsidRPr="00652451">
        <w:rPr>
          <w:rFonts w:ascii="Times New Roman" w:eastAsiaTheme="minorHAnsi" w:hAnsi="Times New Roman" w:cs="Times New Roman"/>
          <w:sz w:val="24"/>
          <w:szCs w:val="24"/>
        </w:rPr>
        <w:t>Iepirkumu komisijas vārdā</w:t>
      </w:r>
    </w:p>
    <w:p w14:paraId="0C47DDD7" w14:textId="10297268" w:rsidR="00652451" w:rsidRPr="00652451" w:rsidRDefault="00652451" w:rsidP="00526266">
      <w:pPr>
        <w:widowControl/>
        <w:autoSpaceDE/>
        <w:autoSpaceDN/>
        <w:spacing w:after="160" w:line="259" w:lineRule="auto"/>
        <w:jc w:val="both"/>
        <w:rPr>
          <w:rFonts w:ascii="Times New Roman" w:eastAsiaTheme="minorHAnsi" w:hAnsi="Times New Roman" w:cs="Times New Roman"/>
          <w:sz w:val="24"/>
          <w:szCs w:val="24"/>
        </w:rPr>
      </w:pPr>
      <w:r w:rsidRPr="00652451">
        <w:rPr>
          <w:rFonts w:ascii="Times New Roman" w:eastAsiaTheme="minorHAnsi" w:hAnsi="Times New Roman" w:cs="Times New Roman"/>
          <w:sz w:val="24"/>
          <w:szCs w:val="24"/>
        </w:rPr>
        <w:t xml:space="preserve">Iepirkumu komisijas priekšsēdētāja </w:t>
      </w:r>
      <w:proofErr w:type="spellStart"/>
      <w:r w:rsidRPr="00652451">
        <w:rPr>
          <w:rFonts w:ascii="Times New Roman" w:eastAsiaTheme="minorHAnsi" w:hAnsi="Times New Roman" w:cs="Times New Roman"/>
          <w:sz w:val="24"/>
          <w:szCs w:val="24"/>
        </w:rPr>
        <w:t>S.Rode</w:t>
      </w:r>
      <w:proofErr w:type="spellEnd"/>
    </w:p>
    <w:p w14:paraId="2116B582" w14:textId="35ABE4F2" w:rsidR="00652451" w:rsidRPr="00652451" w:rsidRDefault="00652451" w:rsidP="00526266">
      <w:pPr>
        <w:widowControl/>
        <w:autoSpaceDE/>
        <w:autoSpaceDN/>
        <w:spacing w:after="160" w:line="259" w:lineRule="auto"/>
        <w:jc w:val="both"/>
        <w:rPr>
          <w:rFonts w:ascii="Times New Roman" w:eastAsiaTheme="minorHAnsi" w:hAnsi="Times New Roman" w:cs="Times New Roman"/>
          <w:sz w:val="24"/>
          <w:szCs w:val="24"/>
        </w:rPr>
      </w:pPr>
      <w:r w:rsidRPr="00652451">
        <w:rPr>
          <w:rFonts w:ascii="Times New Roman" w:eastAsiaTheme="minorHAnsi" w:hAnsi="Times New Roman" w:cs="Times New Roman"/>
          <w:sz w:val="24"/>
          <w:szCs w:val="24"/>
        </w:rPr>
        <w:t>2022.gada 27.jūnijā</w:t>
      </w:r>
    </w:p>
    <w:sectPr w:rsidR="00652451" w:rsidRPr="00652451" w:rsidSect="00652451">
      <w:pgSz w:w="11910" w:h="16840"/>
      <w:pgMar w:top="980" w:right="995"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5F23" w14:textId="77777777" w:rsidR="006A1584" w:rsidRDefault="006A1584" w:rsidP="00526266">
      <w:r>
        <w:separator/>
      </w:r>
    </w:p>
  </w:endnote>
  <w:endnote w:type="continuationSeparator" w:id="0">
    <w:p w14:paraId="08EA7E0B" w14:textId="77777777" w:rsidR="006A1584" w:rsidRDefault="006A1584" w:rsidP="0052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ichroma">
    <w:panose1 w:val="00000000000000000000"/>
    <w:charset w:val="00"/>
    <w:family w:val="auto"/>
    <w:pitch w:val="variable"/>
    <w:sig w:usb0="A00000AF" w:usb1="7800204B" w:usb2="14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0989" w14:textId="77777777" w:rsidR="006A1584" w:rsidRDefault="006A1584" w:rsidP="00526266">
      <w:r>
        <w:separator/>
      </w:r>
    </w:p>
  </w:footnote>
  <w:footnote w:type="continuationSeparator" w:id="0">
    <w:p w14:paraId="7E4A91DF" w14:textId="77777777" w:rsidR="006A1584" w:rsidRDefault="006A1584" w:rsidP="00526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5633"/>
    <w:multiLevelType w:val="hybridMultilevel"/>
    <w:tmpl w:val="DC2880C4"/>
    <w:lvl w:ilvl="0" w:tplc="0A3E305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6514F6"/>
    <w:multiLevelType w:val="hybridMultilevel"/>
    <w:tmpl w:val="C1128800"/>
    <w:lvl w:ilvl="0" w:tplc="031226A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245A0"/>
    <w:multiLevelType w:val="hybridMultilevel"/>
    <w:tmpl w:val="61D476B4"/>
    <w:lvl w:ilvl="0" w:tplc="BC94FD2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7241DF4"/>
    <w:multiLevelType w:val="hybridMultilevel"/>
    <w:tmpl w:val="CE3C6F60"/>
    <w:lvl w:ilvl="0" w:tplc="D316B18C">
      <w:start w:val="1"/>
      <w:numFmt w:val="low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C664DEE"/>
    <w:multiLevelType w:val="multilevel"/>
    <w:tmpl w:val="C374DD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227C66"/>
    <w:multiLevelType w:val="hybridMultilevel"/>
    <w:tmpl w:val="26642468"/>
    <w:lvl w:ilvl="0" w:tplc="C60E813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CD2814"/>
    <w:multiLevelType w:val="hybridMultilevel"/>
    <w:tmpl w:val="C5DC0338"/>
    <w:lvl w:ilvl="0" w:tplc="DF463F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837991"/>
    <w:multiLevelType w:val="hybridMultilevel"/>
    <w:tmpl w:val="3410A2C8"/>
    <w:lvl w:ilvl="0" w:tplc="DF463F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DC3EF3"/>
    <w:multiLevelType w:val="hybridMultilevel"/>
    <w:tmpl w:val="831C6E98"/>
    <w:lvl w:ilvl="0" w:tplc="5FCA3560">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C821DA"/>
    <w:multiLevelType w:val="hybridMultilevel"/>
    <w:tmpl w:val="5A2CC612"/>
    <w:lvl w:ilvl="0" w:tplc="B8E2425E">
      <w:start w:val="1"/>
      <w:numFmt w:val="decimal"/>
      <w:lvlText w:val="%1)"/>
      <w:lvlJc w:val="left"/>
      <w:pPr>
        <w:ind w:left="720" w:hanging="360"/>
      </w:pPr>
      <w:rPr>
        <w:rFonts w:cstheme="minorBid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011653"/>
    <w:multiLevelType w:val="multilevel"/>
    <w:tmpl w:val="3962E0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ajorHAnsi" w:hAnsiTheme="majorHAnsi" w:cstheme="majorHAnsi" w:hint="default"/>
        <w:b w:val="0"/>
        <w:bCs w:val="0"/>
        <w:i w:val="0"/>
        <w:iCs/>
        <w:sz w:val="20"/>
        <w:szCs w:val="20"/>
      </w:rPr>
    </w:lvl>
    <w:lvl w:ilvl="2">
      <w:start w:val="1"/>
      <w:numFmt w:val="decimal"/>
      <w:lvlText w:val="%1.%2.%3."/>
      <w:lvlJc w:val="left"/>
      <w:pPr>
        <w:ind w:left="1224" w:hanging="504"/>
      </w:pPr>
      <w:rPr>
        <w:rFonts w:asciiTheme="majorHAnsi" w:hAnsiTheme="majorHAnsi" w:cstheme="majorHAnsi" w:hint="default"/>
        <w:b w:val="0"/>
        <w:bCs w:val="0"/>
        <w:color w:val="auto"/>
        <w:sz w:val="20"/>
        <w:szCs w:val="20"/>
      </w:rPr>
    </w:lvl>
    <w:lvl w:ilvl="3">
      <w:start w:val="1"/>
      <w:numFmt w:val="lowerLetter"/>
      <w:lvlText w:val="%4)"/>
      <w:lvlJc w:val="left"/>
      <w:pPr>
        <w:ind w:left="1728" w:hanging="648"/>
      </w:pPr>
      <w:rPr>
        <w:rFonts w:asciiTheme="majorHAnsi" w:eastAsia="Arial Unicode MS" w:hAnsiTheme="majorHAnsi" w:cstheme="majorHAnsi" w:hint="default"/>
      </w:rPr>
    </w:lvl>
    <w:lvl w:ilvl="4">
      <w:start w:val="1"/>
      <w:numFmt w:val="lowerLetter"/>
      <w:lvlText w:val="%5)"/>
      <w:lvlJc w:val="left"/>
      <w:pPr>
        <w:ind w:left="2232" w:hanging="792"/>
      </w:pPr>
      <w:rPr>
        <w:rFonts w:asciiTheme="majorHAnsi" w:eastAsia="Times New Roman" w:hAnsiTheme="majorHAnsi" w:cstheme="majorHAnsi" w:hint="default"/>
      </w:rPr>
    </w:lvl>
    <w:lvl w:ilvl="5">
      <w:start w:val="1"/>
      <w:numFmt w:val="decimal"/>
      <w:lvlText w:val="%6."/>
      <w:lvlJc w:val="left"/>
      <w:pPr>
        <w:ind w:left="2736" w:hanging="936"/>
      </w:pPr>
      <w:rPr>
        <w:rFonts w:asciiTheme="majorHAnsi" w:eastAsia="Batang" w:hAnsiTheme="majorHAnsi" w:cstheme="majorHAnsi"/>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47D43"/>
    <w:multiLevelType w:val="hybridMultilevel"/>
    <w:tmpl w:val="8710F500"/>
    <w:lvl w:ilvl="0" w:tplc="DF463F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DFB035C"/>
    <w:multiLevelType w:val="hybridMultilevel"/>
    <w:tmpl w:val="BCCEE60A"/>
    <w:lvl w:ilvl="0" w:tplc="8BA4870E">
      <w:start w:val="1"/>
      <w:numFmt w:val="lowerLetter"/>
      <w:lvlText w:val="%1)"/>
      <w:lvlJc w:val="left"/>
      <w:pPr>
        <w:ind w:left="354" w:hanging="360"/>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13" w15:restartNumberingAfterBreak="0">
    <w:nsid w:val="70C57941"/>
    <w:multiLevelType w:val="hybridMultilevel"/>
    <w:tmpl w:val="A4A4B21C"/>
    <w:lvl w:ilvl="0" w:tplc="DF463F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F82061"/>
    <w:multiLevelType w:val="hybridMultilevel"/>
    <w:tmpl w:val="80085100"/>
    <w:lvl w:ilvl="0" w:tplc="2F94A3E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FA70D5F"/>
    <w:multiLevelType w:val="hybridMultilevel"/>
    <w:tmpl w:val="758A88B4"/>
    <w:lvl w:ilvl="0" w:tplc="BA0CEC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96314247">
    <w:abstractNumId w:val="4"/>
  </w:num>
  <w:num w:numId="2" w16cid:durableId="1712417270">
    <w:abstractNumId w:val="9"/>
  </w:num>
  <w:num w:numId="3" w16cid:durableId="1293973705">
    <w:abstractNumId w:val="15"/>
  </w:num>
  <w:num w:numId="4" w16cid:durableId="2118407898">
    <w:abstractNumId w:val="2"/>
  </w:num>
  <w:num w:numId="5" w16cid:durableId="1096560830">
    <w:abstractNumId w:val="11"/>
  </w:num>
  <w:num w:numId="6" w16cid:durableId="898128376">
    <w:abstractNumId w:val="13"/>
  </w:num>
  <w:num w:numId="7" w16cid:durableId="1245216641">
    <w:abstractNumId w:val="10"/>
  </w:num>
  <w:num w:numId="8" w16cid:durableId="1561749209">
    <w:abstractNumId w:val="6"/>
  </w:num>
  <w:num w:numId="9" w16cid:durableId="1540900134">
    <w:abstractNumId w:val="7"/>
  </w:num>
  <w:num w:numId="10" w16cid:durableId="198862494">
    <w:abstractNumId w:val="12"/>
  </w:num>
  <w:num w:numId="11" w16cid:durableId="359284541">
    <w:abstractNumId w:val="1"/>
  </w:num>
  <w:num w:numId="12" w16cid:durableId="1023821368">
    <w:abstractNumId w:val="3"/>
  </w:num>
  <w:num w:numId="13" w16cid:durableId="168446174">
    <w:abstractNumId w:val="8"/>
  </w:num>
  <w:num w:numId="14" w16cid:durableId="589967463">
    <w:abstractNumId w:val="5"/>
  </w:num>
  <w:num w:numId="15" w16cid:durableId="168297227">
    <w:abstractNumId w:val="0"/>
  </w:num>
  <w:num w:numId="16" w16cid:durableId="1646929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66"/>
    <w:rsid w:val="005161D0"/>
    <w:rsid w:val="00526266"/>
    <w:rsid w:val="00652451"/>
    <w:rsid w:val="006A1584"/>
    <w:rsid w:val="008A2217"/>
    <w:rsid w:val="008D704A"/>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5F5E"/>
  <w15:chartTrackingRefBased/>
  <w15:docId w15:val="{9C7F7E9D-E7D6-4F0E-B295-5E98C967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6266"/>
    <w:pPr>
      <w:widowControl w:val="0"/>
      <w:autoSpaceDE w:val="0"/>
      <w:autoSpaceDN w:val="0"/>
      <w:spacing w:after="0" w:line="240" w:lineRule="auto"/>
    </w:pPr>
    <w:rPr>
      <w:rFonts w:ascii="Michroma" w:eastAsia="Michroma" w:hAnsi="Michroma" w:cs="Michroma"/>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basedOn w:val="Normal"/>
    <w:link w:val="BodyTextChar"/>
    <w:qFormat/>
    <w:rsid w:val="00526266"/>
    <w:rPr>
      <w:rFonts w:ascii="Calibri" w:eastAsia="Calibri" w:hAnsi="Calibri" w:cs="Calibri"/>
      <w:sz w:val="36"/>
      <w:szCs w:val="36"/>
    </w:rPr>
  </w:style>
  <w:style w:type="character" w:customStyle="1" w:styleId="BodyTextChar">
    <w:name w:val="Body Text Char"/>
    <w:aliases w:val="Body Text1 Char"/>
    <w:basedOn w:val="DefaultParagraphFont"/>
    <w:link w:val="BodyText"/>
    <w:rsid w:val="00526266"/>
    <w:rPr>
      <w:rFonts w:ascii="Calibri" w:eastAsia="Calibri" w:hAnsi="Calibri" w:cs="Calibri"/>
      <w:sz w:val="36"/>
      <w:szCs w:val="36"/>
      <w:lang w:val="lv-LV"/>
    </w:rPr>
  </w:style>
  <w:style w:type="character" w:styleId="Hyperlink">
    <w:name w:val="Hyperlink"/>
    <w:basedOn w:val="DefaultParagraphFont"/>
    <w:unhideWhenUsed/>
    <w:rsid w:val="00526266"/>
    <w:rPr>
      <w:color w:val="0563C1" w:themeColor="hyperlink"/>
      <w:u w:val="single"/>
    </w:rPr>
  </w:style>
  <w:style w:type="paragraph" w:styleId="NoSpacing">
    <w:name w:val="No Spacing"/>
    <w:uiPriority w:val="1"/>
    <w:qFormat/>
    <w:rsid w:val="00526266"/>
    <w:pPr>
      <w:widowControl w:val="0"/>
      <w:autoSpaceDE w:val="0"/>
      <w:autoSpaceDN w:val="0"/>
      <w:spacing w:after="0" w:line="240" w:lineRule="auto"/>
    </w:pPr>
    <w:rPr>
      <w:rFonts w:ascii="Michroma" w:eastAsia="Michroma" w:hAnsi="Michroma" w:cs="Michroma"/>
      <w:lang w:val="lv-LV"/>
    </w:rPr>
  </w:style>
  <w:style w:type="paragraph" w:styleId="FootnoteText">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Normal"/>
    <w:link w:val="FootnoteTextChar"/>
    <w:unhideWhenUsed/>
    <w:rsid w:val="00526266"/>
    <w:pPr>
      <w:widowControl/>
      <w:autoSpaceDE/>
      <w:autoSpaceDN/>
    </w:pPr>
    <w:rPr>
      <w:rFonts w:ascii="Arial" w:eastAsiaTheme="minorHAnsi" w:hAnsi="Arial" w:cstheme="minorBidi"/>
      <w:sz w:val="20"/>
      <w:szCs w:val="20"/>
    </w:rPr>
  </w:style>
  <w:style w:type="character" w:customStyle="1" w:styleId="FootnoteTextChar">
    <w:name w:val="Footnote Text Char"/>
    <w:aliases w:val=" Rakstz. Char,Fußnote Char,Char Char Char,Char Char Char Char Char Char Char Char Char Char Char Char Char Char Char Char Char,Footnote Char,Fußnote Char Char Char Char,Char Char1,Footnote Text Char1 Char"/>
    <w:basedOn w:val="DefaultParagraphFont"/>
    <w:link w:val="FootnoteText"/>
    <w:rsid w:val="00526266"/>
    <w:rPr>
      <w:rFonts w:ascii="Arial" w:hAnsi="Arial"/>
      <w:sz w:val="20"/>
      <w:szCs w:val="20"/>
      <w:lang w:val="lv-LV"/>
    </w:rPr>
  </w:style>
  <w:style w:type="character" w:styleId="FootnoteReference">
    <w:name w:val="footnote reference"/>
    <w:aliases w:val="Footnote symbol,Footnote Reference Number,SUPERS,Footnote Reference Superscript,Footnote Refernece,ftref,stylish,BVI fnr,Fußnotenzeichen_Raxen,callout,Footnote symbFootnote Refernece,fr,Odwołanie przypisu,Footnotes refss,Ref"/>
    <w:basedOn w:val="DefaultParagraphFont"/>
    <w:uiPriority w:val="99"/>
    <w:unhideWhenUsed/>
    <w:rsid w:val="00526266"/>
    <w:rPr>
      <w:vertAlign w:val="superscript"/>
    </w:rPr>
  </w:style>
  <w:style w:type="table" w:styleId="TableGrid">
    <w:name w:val="Table Grid"/>
    <w:basedOn w:val="TableNormal"/>
    <w:uiPriority w:val="39"/>
    <w:rsid w:val="00526266"/>
    <w:pPr>
      <w:spacing w:after="0" w:line="240" w:lineRule="auto"/>
    </w:pPr>
    <w:rPr>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1</cp:revision>
  <dcterms:created xsi:type="dcterms:W3CDTF">2022-06-27T06:39:00Z</dcterms:created>
  <dcterms:modified xsi:type="dcterms:W3CDTF">2022-06-27T06:55:00Z</dcterms:modified>
</cp:coreProperties>
</file>