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07B2" w14:textId="77777777" w:rsidR="007F71E1" w:rsidRPr="00F16A1C" w:rsidRDefault="007F71E1" w:rsidP="007F71E1">
      <w:pPr>
        <w:rPr>
          <w:b/>
          <w:bCs/>
          <w:sz w:val="24"/>
          <w:szCs w:val="24"/>
          <w:u w:val="single"/>
          <w:lang w:val="fi-FI"/>
        </w:rPr>
      </w:pPr>
      <w:r w:rsidRPr="00F16A1C">
        <w:rPr>
          <w:b/>
          <w:bCs/>
          <w:sz w:val="24"/>
          <w:szCs w:val="24"/>
          <w:u w:val="single"/>
          <w:lang w:val="lv-LV"/>
        </w:rPr>
        <w:t>Nosacījumi dalībai tirgus izpētē:</w:t>
      </w:r>
    </w:p>
    <w:p w14:paraId="20AB29E6" w14:textId="4BDA9ADA" w:rsidR="007F71E1" w:rsidRPr="007F71E1" w:rsidRDefault="007F71E1" w:rsidP="007F71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 xml:space="preserve">Šķeldas paredzamais piegādes apjoms </w:t>
      </w:r>
      <w:r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 xml:space="preserve">gada periodam </w:t>
      </w:r>
      <w:r w:rsidR="00F24F73"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 xml:space="preserve">un vispārējie principi </w:t>
      </w:r>
      <w:r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>(</w:t>
      </w:r>
      <w:r w:rsidRPr="007F71E1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par pamatu ņem</w:t>
      </w:r>
      <w:r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ti </w:t>
      </w:r>
      <w:r w:rsidRPr="007F71E1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Pasūtītāja iepriekšējo periodu darbības statistiskos siltumenerģijas ražošanas apjomus un zemāk norādīto pieņemto informāciju par katlu darbības efektivitāti un kurināmo raksturojošus lielumus</w:t>
      </w:r>
      <w:r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)</w:t>
      </w:r>
    </w:p>
    <w:p w14:paraId="61732A67" w14:textId="77777777" w:rsidR="007F71E1" w:rsidRPr="005A63D6" w:rsidRDefault="007F71E1" w:rsidP="007F71E1">
      <w:p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</w:p>
    <w:tbl>
      <w:tblPr>
        <w:tblW w:w="8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5"/>
        <w:gridCol w:w="1843"/>
        <w:gridCol w:w="1417"/>
        <w:gridCol w:w="1764"/>
        <w:gridCol w:w="1984"/>
      </w:tblGrid>
      <w:tr w:rsidR="007F71E1" w:rsidRPr="009B5926" w14:paraId="1DC64F66" w14:textId="77777777" w:rsidTr="002447CC">
        <w:trPr>
          <w:trHeight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A70F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4AC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 xml:space="preserve">Apmaksa tiks veikta pēc katla uzstādīto siltuma skaitītāju uzskaitītās siltumenerģijas 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. Skatīt. 4.1. punkta formulu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1321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BF1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AB7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</w:tr>
      <w:tr w:rsidR="007F71E1" w:rsidRPr="00F16A1C" w14:paraId="08D4529A" w14:textId="77777777" w:rsidTr="002447CC">
        <w:trPr>
          <w:trHeight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AFE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Piegādes periods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24A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 xml:space="preserve"> katlu mājas siltumenerģijas ražošanas prognoze (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FE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katlu mājas darbības efektivitāte (lietderība %)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848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ar kurināmo ievadītā enerģija (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0C2F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ievadītās enerģijas nodrošināšanai paredzamais kurināmā piegādes daudzums, (ber.m³)</w:t>
            </w:r>
          </w:p>
        </w:tc>
      </w:tr>
      <w:tr w:rsidR="007F71E1" w:rsidRPr="009B5926" w14:paraId="6E64E674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43C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janvāris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EAC4A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A9EA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8E4F05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A6AE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7F71E1" w:rsidRPr="009B5926" w14:paraId="5BFE0BA3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09C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februāris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5A8CE0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4032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3CCD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B84CA0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609341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6201</w:t>
            </w:r>
          </w:p>
        </w:tc>
      </w:tr>
      <w:tr w:rsidR="007F71E1" w:rsidRPr="009B5926" w14:paraId="4A59B50E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30D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marts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11C6B6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F78D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25C858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3CCEF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7F71E1" w:rsidRPr="009B5926" w14:paraId="18DFCB08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7D2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aprīlis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2FD60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4D6C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2DF183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972128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6643</w:t>
            </w:r>
          </w:p>
        </w:tc>
      </w:tr>
      <w:tr w:rsidR="007F71E1" w:rsidRPr="009B5926" w14:paraId="2C377936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107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maijs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06228E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6279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96A156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B830D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7F71E1" w:rsidRPr="009B5926" w14:paraId="38F156BD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7CF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jūnijs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CB3D11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275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B500F3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F2714C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7F71E1" w:rsidRPr="009B5926" w14:paraId="72EAD6CE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5A3E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jūlijs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27BE3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E919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30541A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7321F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7F71E1" w:rsidRPr="009B5926" w14:paraId="371DA448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D4E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augusts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1CB58A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3E8E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05BC1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0E2E94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7F71E1" w:rsidRPr="009B5926" w14:paraId="18769BF6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20B2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septembris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D70B87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2317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691CA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7DBADD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7F71E1" w:rsidRPr="009B5926" w14:paraId="0F8B2A22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085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oktobris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3711FA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7E7C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362CA5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B885C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7F71E1" w:rsidRPr="009B5926" w14:paraId="7CC4B14B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25BA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novembris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A0466E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ADF72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1B116C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784390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6643</w:t>
            </w:r>
          </w:p>
        </w:tc>
      </w:tr>
      <w:tr w:rsidR="007F71E1" w:rsidRPr="009B5926" w14:paraId="5AA2E77E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D1D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decembris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16868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677F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736DA6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422C1B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7F71E1" w:rsidRPr="009B5926" w14:paraId="3D2F5149" w14:textId="77777777" w:rsidTr="002447CC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4E4" w14:textId="77777777" w:rsidR="007F71E1" w:rsidRPr="009B5926" w:rsidRDefault="007F71E1" w:rsidP="002447CC">
            <w:pPr>
              <w:spacing w:after="0" w:line="240" w:lineRule="auto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  <w:t xml:space="preserve">KOPĀ: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D89AE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36528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3A9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D9F027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42976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DEE620" w14:textId="77777777" w:rsidR="007F71E1" w:rsidRPr="009B5926" w:rsidRDefault="007F71E1" w:rsidP="002447CC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56177</w:t>
            </w:r>
          </w:p>
        </w:tc>
      </w:tr>
    </w:tbl>
    <w:p w14:paraId="5B4E3A81" w14:textId="77777777" w:rsidR="007F71E1" w:rsidRPr="009B5926" w:rsidRDefault="007F71E1" w:rsidP="007F71E1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lv-LV" w:eastAsia="en-GB"/>
        </w:rPr>
      </w:pPr>
    </w:p>
    <w:p w14:paraId="632750A9" w14:textId="77777777" w:rsidR="007F71E1" w:rsidRPr="009B5926" w:rsidRDefault="007F71E1" w:rsidP="007F71E1">
      <w:pPr>
        <w:spacing w:after="0" w:line="240" w:lineRule="auto"/>
        <w:rPr>
          <w:rFonts w:ascii="Avenir Next" w:eastAsia="Times New Roman" w:hAnsi="Avenir Next" w:cs="Times New Roman"/>
          <w:i/>
          <w:iCs/>
          <w:sz w:val="20"/>
          <w:szCs w:val="20"/>
          <w:u w:val="single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u w:val="single"/>
          <w:lang w:val="lv-LV" w:eastAsia="en-GB"/>
        </w:rPr>
        <w:t>Pieņemtā informācija šķeldas patēriņa apjomu prognozēšanai:</w:t>
      </w:r>
    </w:p>
    <w:p w14:paraId="764E4F83" w14:textId="77777777" w:rsidR="007F71E1" w:rsidRPr="009B5926" w:rsidRDefault="007F71E1" w:rsidP="007F71E1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Katlu efektivitāte 85%</w:t>
      </w:r>
    </w:p>
    <w:p w14:paraId="354D58EA" w14:textId="77777777" w:rsidR="007F71E1" w:rsidRPr="009B5926" w:rsidRDefault="007F71E1" w:rsidP="007F71E1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Šķeldas mitrums (vidējais ~50%)</w:t>
      </w:r>
    </w:p>
    <w:p w14:paraId="7358DA74" w14:textId="77777777" w:rsidR="007F71E1" w:rsidRPr="009B5926" w:rsidRDefault="007F71E1" w:rsidP="007F71E1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Calibri" w:hAnsi="Avenir Next" w:cs="Times New Roman"/>
          <w:i/>
          <w:iCs/>
          <w:sz w:val="20"/>
          <w:szCs w:val="20"/>
          <w:lang w:val="lv-LV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 xml:space="preserve">Šķeldas siltumspēja 2,32 </w:t>
      </w:r>
      <w:proofErr w:type="spellStart"/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kW</w:t>
      </w:r>
      <w:proofErr w:type="spellEnd"/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 xml:space="preserve">/kg jeb </w:t>
      </w:r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 xml:space="preserve">1994 </w:t>
      </w:r>
      <w:proofErr w:type="spellStart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kcal</w:t>
      </w:r>
      <w:proofErr w:type="spellEnd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 xml:space="preserve">/kg vai 765 </w:t>
      </w:r>
      <w:proofErr w:type="spellStart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kW</w:t>
      </w:r>
      <w:proofErr w:type="spellEnd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/ber.m</w:t>
      </w:r>
      <w:r w:rsidRPr="009B5926">
        <w:rPr>
          <w:rFonts w:ascii="Avenir Next" w:eastAsia="Times New Roman" w:hAnsi="Avenir Next" w:cs="Arial"/>
          <w:i/>
          <w:iCs/>
          <w:sz w:val="20"/>
          <w:szCs w:val="20"/>
          <w:vertAlign w:val="superscript"/>
          <w:lang w:val="lv-LV" w:eastAsia="en-GB"/>
        </w:rPr>
        <w:t>3</w:t>
      </w:r>
    </w:p>
    <w:p w14:paraId="44318AA6" w14:textId="77777777" w:rsidR="007F71E1" w:rsidRPr="009B5926" w:rsidRDefault="007F71E1" w:rsidP="007F71E1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lv-LV" w:eastAsia="en-GB"/>
        </w:rPr>
      </w:pPr>
    </w:p>
    <w:p w14:paraId="3BA0DADF" w14:textId="77777777" w:rsidR="007F71E1" w:rsidRPr="005A63D6" w:rsidRDefault="007F71E1" w:rsidP="007F71E1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Ievērojot faktu, ka Pasūtītāja saražotās siltumenerģijas izlietošana (piegāde siltumenerģijas lietotājiem) ir atkarīga tai skaitā no meteoroloģiskajiem apstākļiem un lietotāju pieprasījuma, 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plānotie kopējie piegādes apjomi </w:t>
      </w:r>
      <w:r w:rsidRPr="005A63D6">
        <w:rPr>
          <w:rFonts w:ascii="Avenir Next" w:eastAsia="Times New Roman" w:hAnsi="Avenir Next" w:cs="Times New Roman"/>
          <w:b/>
          <w:color w:val="000000"/>
          <w:sz w:val="20"/>
          <w:szCs w:val="20"/>
          <w:lang w:val="lv-LV" w:eastAsia="en-GB"/>
        </w:rPr>
        <w:t>var mainīties par ± 20 %.</w:t>
      </w:r>
    </w:p>
    <w:p w14:paraId="24F96B50" w14:textId="77777777" w:rsidR="007F71E1" w:rsidRPr="005A63D6" w:rsidRDefault="007F71E1" w:rsidP="007F71E1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Pasūtītājam nav pienākuma iegādāties visu iepriekš minēto vai noslēgtā līguma ietvaros paredzēto un noteikto šķeldas apjomu.</w:t>
      </w:r>
    </w:p>
    <w:p w14:paraId="0F96AEC9" w14:textId="2E6AD008" w:rsidR="007F71E1" w:rsidRDefault="007F71E1" w:rsidP="007F71E1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Šķelda, ievērojot šīs tehniskās specifikācijas noteikto kārtību un nosacījumus, tiek piegādāta, pieņemta un uzskaitīta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berkubikmetros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 (ber.m</w:t>
      </w:r>
      <w:r w:rsidRPr="005A63D6">
        <w:rPr>
          <w:rFonts w:ascii="Avenir Next" w:eastAsia="Times New Roman" w:hAnsi="Avenir Next" w:cs="Times New Roman (Body CS)"/>
          <w:color w:val="000000"/>
          <w:sz w:val="20"/>
          <w:szCs w:val="20"/>
          <w:vertAlign w:val="superscript"/>
          <w:lang w:val="lv-LV" w:eastAsia="ar-SA"/>
        </w:rPr>
        <w:t>3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), bet cena par piegādāto šķeldu tiek aprēķināta un Piegādātājam samaksāta, ņemot vērā 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piegādātās šķeldas enerģētisko vērtību, to nosakot pēc šķeldas katliem uzstādīto siltumenerģijas skaitītāju rādījumu starpības norēķinu mēneša beigās un mēneša sākumā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.</w:t>
      </w:r>
    </w:p>
    <w:p w14:paraId="4C061E2A" w14:textId="77777777" w:rsidR="00ED550C" w:rsidRPr="00ED550C" w:rsidRDefault="00ED550C" w:rsidP="00ED550C">
      <w:pPr>
        <w:pStyle w:val="ListParagraph"/>
        <w:numPr>
          <w:ilvl w:val="1"/>
          <w:numId w:val="2"/>
        </w:numPr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ED550C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Sagatavojot piedāvājumu, Pretendentam jāņem vērā, ka Pasūtītāja koksnes šķeldas glabāšanas noliktava ir paredzēta šķeldas uzglabāšanai aptuveni 5 diennaktīm, kad katli darbojas ar pilnu jaudu.</w:t>
      </w:r>
    </w:p>
    <w:p w14:paraId="52BB90C2" w14:textId="77777777" w:rsidR="00ED550C" w:rsidRPr="005A63D6" w:rsidRDefault="00ED550C" w:rsidP="00ED550C">
      <w:p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</w:p>
    <w:p w14:paraId="02FDBD1C" w14:textId="77777777" w:rsidR="00F24F73" w:rsidRPr="005A63D6" w:rsidRDefault="00F24F73" w:rsidP="00F24F73">
      <w:pPr>
        <w:numPr>
          <w:ilvl w:val="0"/>
          <w:numId w:val="2"/>
        </w:numPr>
        <w:spacing w:after="0" w:line="240" w:lineRule="auto"/>
        <w:contextualSpacing/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lastRenderedPageBreak/>
        <w:t>Prasības kurināmās šķeldai un tās raksturlielumiem</w:t>
      </w:r>
    </w:p>
    <w:p w14:paraId="5B4C8E0C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Šķeldas kvalitātes raksturlielumi izriet no EN 14961-1:2010 (E) un pamatots ar katlu mājā uzstādīto katlu iekārtu ražotāja noteiktajiem iekārtu ekspluatācijas noteikumiem un prasībām -</w:t>
      </w:r>
    </w:p>
    <w:p w14:paraId="22F24904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Šķeldas koksnes izcelsme un sastāvs - iegūta no malkas koksnes vai kokapstrādes uzņēmumu atlikumu koksnes (nomaļi) ievērojot sekojošus nosacījumus: </w:t>
      </w:r>
    </w:p>
    <w:p w14:paraId="43E7E316" w14:textId="77777777" w:rsidR="00F24F73" w:rsidRPr="005A63D6" w:rsidRDefault="00F24F73" w:rsidP="00F24F73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nelielu mizas piejaukumu ne vairāk kā 15% un/vai</w:t>
      </w:r>
    </w:p>
    <w:p w14:paraId="31FFAB85" w14:textId="77777777" w:rsidR="00F24F73" w:rsidRPr="005A63D6" w:rsidRDefault="00F24F73" w:rsidP="00F24F73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pieļaujamu apauguma šķeldas piejaukumu ne vairāk kā 20% no kopējās masas, bet</w:t>
      </w:r>
    </w:p>
    <w:p w14:paraId="3863CFB4" w14:textId="77777777" w:rsidR="00F24F73" w:rsidRPr="005A63D6" w:rsidRDefault="00F24F73" w:rsidP="00F24F73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zāģskaidu piejaukums netiek pieļauts;</w:t>
      </w:r>
    </w:p>
    <w:p w14:paraId="682403AE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Skuju koka klātbūtne (piemaisījums) šķeldā līdz 30%;</w:t>
      </w:r>
    </w:p>
    <w:p w14:paraId="48AE1B81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Šķeldas frakcija P100;</w:t>
      </w:r>
    </w:p>
    <w:p w14:paraId="5A61EFEA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Galvenā frakcija </w:t>
      </w: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16 &lt; P &lt; 100 mm;</w:t>
      </w:r>
    </w:p>
    <w:p w14:paraId="7A3DCBDB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Smalkā frakcijas piejaukums (P &lt; 3,15 mm) &lt; 4 %;</w:t>
      </w:r>
    </w:p>
    <w:p w14:paraId="2FC28752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Rupjās frakcijas piejaukums (P &gt; 200 mm, bet ne lielāki kā 350 mm) &lt; 6 %;</w:t>
      </w:r>
    </w:p>
    <w:p w14:paraId="54CE2AE1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Pelnu saturs A5.0</w:t>
      </w:r>
    </w:p>
    <w:p w14:paraId="044FEEA1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Mitrums robežās no M35 līdz M50  (izņēmumu kārtā saskaņojot atsevišķi pieļaujams M55);</w:t>
      </w:r>
    </w:p>
    <w:p w14:paraId="098257C1" w14:textId="77777777" w:rsidR="00F24F73" w:rsidRPr="005A63D6" w:rsidRDefault="00F24F73" w:rsidP="00F24F73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 xml:space="preserve">Siltumspēja </w:t>
      </w:r>
    </w:p>
    <w:tbl>
      <w:tblPr>
        <w:tblStyle w:val="TableGrid11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2486"/>
      </w:tblGrid>
      <w:tr w:rsidR="00F24F73" w:rsidRPr="005A63D6" w14:paraId="38F04ABC" w14:textId="77777777" w:rsidTr="002447CC">
        <w:tc>
          <w:tcPr>
            <w:tcW w:w="2317" w:type="dxa"/>
          </w:tcPr>
          <w:p w14:paraId="686D429B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Šķeldas mitrums (%)</w:t>
            </w:r>
          </w:p>
        </w:tc>
        <w:tc>
          <w:tcPr>
            <w:tcW w:w="2486" w:type="dxa"/>
          </w:tcPr>
          <w:p w14:paraId="42A116B1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Zemākā šķeldas siltumspēja (</w:t>
            </w: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Q</w:t>
            </w: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vertAlign w:val="subscript"/>
                <w:lang w:eastAsia="en-GB"/>
              </w:rPr>
              <w:t>z</w:t>
            </w: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vertAlign w:val="superscript"/>
                <w:lang w:eastAsia="en-GB"/>
              </w:rPr>
              <w:t>d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24F73" w:rsidRPr="005A63D6" w14:paraId="2DE20DF0" w14:textId="77777777" w:rsidTr="002447CC">
        <w:tc>
          <w:tcPr>
            <w:tcW w:w="2317" w:type="dxa"/>
          </w:tcPr>
          <w:p w14:paraId="756FDE3E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486" w:type="dxa"/>
          </w:tcPr>
          <w:p w14:paraId="5FADE975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3,23</w:t>
            </w:r>
          </w:p>
        </w:tc>
      </w:tr>
      <w:tr w:rsidR="00F24F73" w:rsidRPr="005A63D6" w14:paraId="2117B22A" w14:textId="77777777" w:rsidTr="002447CC">
        <w:tc>
          <w:tcPr>
            <w:tcW w:w="2317" w:type="dxa"/>
          </w:tcPr>
          <w:p w14:paraId="543D8142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2486" w:type="dxa"/>
          </w:tcPr>
          <w:p w14:paraId="5694AF58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2,92</w:t>
            </w:r>
          </w:p>
        </w:tc>
      </w:tr>
      <w:tr w:rsidR="00F24F73" w:rsidRPr="005A63D6" w14:paraId="0CB74D6F" w14:textId="77777777" w:rsidTr="002447CC">
        <w:tc>
          <w:tcPr>
            <w:tcW w:w="2317" w:type="dxa"/>
          </w:tcPr>
          <w:p w14:paraId="251ABE04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2486" w:type="dxa"/>
          </w:tcPr>
          <w:p w14:paraId="0DF8613E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2,62</w:t>
            </w:r>
          </w:p>
        </w:tc>
      </w:tr>
      <w:tr w:rsidR="00F24F73" w:rsidRPr="005A63D6" w14:paraId="082E748F" w14:textId="77777777" w:rsidTr="002447CC">
        <w:tc>
          <w:tcPr>
            <w:tcW w:w="2317" w:type="dxa"/>
          </w:tcPr>
          <w:p w14:paraId="6F2260DB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486" w:type="dxa"/>
          </w:tcPr>
          <w:p w14:paraId="14EAA0FB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3,32</w:t>
            </w:r>
          </w:p>
        </w:tc>
      </w:tr>
      <w:tr w:rsidR="00F24F73" w:rsidRPr="005A63D6" w14:paraId="39E4C185" w14:textId="77777777" w:rsidTr="002447CC">
        <w:tc>
          <w:tcPr>
            <w:tcW w:w="2317" w:type="dxa"/>
          </w:tcPr>
          <w:p w14:paraId="793A4E57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2486" w:type="dxa"/>
          </w:tcPr>
          <w:p w14:paraId="4CDC48E1" w14:textId="77777777" w:rsidR="00F24F73" w:rsidRPr="005A63D6" w:rsidRDefault="00F24F73" w:rsidP="002447CC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2,02</w:t>
            </w:r>
          </w:p>
        </w:tc>
      </w:tr>
    </w:tbl>
    <w:p w14:paraId="17E0E6BB" w14:textId="77777777" w:rsidR="00F24F73" w:rsidRPr="005A63D6" w:rsidRDefault="00F24F73" w:rsidP="00F24F73">
      <w:p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</w:p>
    <w:p w14:paraId="2A005E7D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Šķeldā nedrīkst būt koksnes pārstrādes atlikumi, kas neatbilst minētajiem izmēriem.</w:t>
      </w:r>
    </w:p>
    <w:p w14:paraId="6B35B0FB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Šķeldā nedrīkst būt smiltis, akmeņi, metāls vai citi materiāli, t.sk., jebkādas vielas. </w:t>
      </w:r>
    </w:p>
    <w:p w14:paraId="05D389A5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Sasalusi šķelda vai sniegs var būt ne vairāk kā 5% no kopējās kravas piegādes apjoma, gabalos, kuri nav lielāki par 100 mm.</w:t>
      </w:r>
    </w:p>
    <w:p w14:paraId="1F54272E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 nedrīkst būt sākusi sadalīties.</w:t>
      </w:r>
    </w:p>
    <w:p w14:paraId="7A6FD7F0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Radioaktīvais piesārņojums (mākslīgie radionuklīdi) piegādātās šķeldas kravā nedrīkst pārsniegt spēkā esošajos normatīvajos aktos noteikto limitu, bet ne vairāk kā 1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Bq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/kg. Pelnu īpatnējā radioaktivitāte nedrīkst pārsniegt noteikto limitu (Cs-137 radioizotopam 1000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Bq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/kg).</w:t>
      </w:r>
    </w:p>
    <w:p w14:paraId="2FBC164A" w14:textId="77777777" w:rsidR="00F24F73" w:rsidRPr="005A63D6" w:rsidRDefault="00F24F73" w:rsidP="00F24F7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No trešajām valstīm ievestai šķeldai, katra piegādes kravai jāpievieno šķeldas izcelsmi apliecinoši dokumenti.</w:t>
      </w:r>
    </w:p>
    <w:p w14:paraId="3EBFE8D8" w14:textId="77777777" w:rsidR="00106E04" w:rsidRPr="007F71E1" w:rsidRDefault="00106E04">
      <w:pPr>
        <w:rPr>
          <w:lang w:val="lv-LV"/>
        </w:rPr>
      </w:pPr>
    </w:p>
    <w:sectPr w:rsidR="00106E04" w:rsidRPr="007F71E1" w:rsidSect="00F24F73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9FB"/>
    <w:multiLevelType w:val="multilevel"/>
    <w:tmpl w:val="E0B640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5542C0"/>
    <w:multiLevelType w:val="hybridMultilevel"/>
    <w:tmpl w:val="0F8CC78E"/>
    <w:lvl w:ilvl="0" w:tplc="99E0BE82">
      <w:start w:val="2020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56397">
    <w:abstractNumId w:val="1"/>
  </w:num>
  <w:num w:numId="2" w16cid:durableId="161470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1"/>
    <w:rsid w:val="00106E04"/>
    <w:rsid w:val="007F71E1"/>
    <w:rsid w:val="008A2217"/>
    <w:rsid w:val="00A11D7B"/>
    <w:rsid w:val="00BB30C5"/>
    <w:rsid w:val="00D13A88"/>
    <w:rsid w:val="00ED550C"/>
    <w:rsid w:val="00F16A1C"/>
    <w:rsid w:val="00F24F73"/>
    <w:rsid w:val="00F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D78F"/>
  <w15:chartTrackingRefBased/>
  <w15:docId w15:val="{0D0BB278-E368-4BEA-B5FD-3323682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F24F73"/>
    <w:pPr>
      <w:spacing w:after="0" w:line="240" w:lineRule="auto"/>
    </w:pPr>
    <w:rPr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4</cp:revision>
  <dcterms:created xsi:type="dcterms:W3CDTF">2022-09-26T13:06:00Z</dcterms:created>
  <dcterms:modified xsi:type="dcterms:W3CDTF">2022-09-27T06:50:00Z</dcterms:modified>
</cp:coreProperties>
</file>