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9704" w14:textId="77777777" w:rsidR="00E94A71" w:rsidRPr="0054580E" w:rsidRDefault="00E94A71" w:rsidP="00E94A71">
      <w:pPr>
        <w:spacing w:after="0" w:line="276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3</w:t>
      </w:r>
      <w:r w:rsidRPr="0054580E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 xml:space="preserve"> </w:t>
      </w:r>
      <w:r w:rsidRPr="0054580E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pielikums</w:t>
      </w:r>
    </w:p>
    <w:p w14:paraId="500451AA" w14:textId="77777777" w:rsidR="00E94A71" w:rsidRPr="009C5BD4" w:rsidRDefault="00E94A71" w:rsidP="00E94A71">
      <w:pPr>
        <w:spacing w:after="0" w:line="240" w:lineRule="auto"/>
        <w:ind w:left="5954" w:right="-1" w:hanging="466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v-LV"/>
        </w:rPr>
      </w:pPr>
      <w:r w:rsidRPr="009C5B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v-LV"/>
        </w:rPr>
        <w:t xml:space="preserve">SIA “Rēzeknes siltumtīkli” </w:t>
      </w:r>
    </w:p>
    <w:p w14:paraId="50BDBF19" w14:textId="77777777" w:rsidR="00E94A71" w:rsidRPr="009C5BD4" w:rsidRDefault="00E94A71" w:rsidP="00E94A71">
      <w:pPr>
        <w:spacing w:after="0" w:line="240" w:lineRule="auto"/>
        <w:ind w:left="5954" w:right="-1" w:hanging="466"/>
        <w:jc w:val="right"/>
        <w:rPr>
          <w:rFonts w:ascii="Times New Roman" w:eastAsia="Batang" w:hAnsi="Times New Roman" w:cs="Times New Roman"/>
          <w:color w:val="000000" w:themeColor="text1"/>
          <w:sz w:val="20"/>
          <w:szCs w:val="20"/>
          <w:lang w:val="lv-LV"/>
        </w:rPr>
      </w:pPr>
      <w:r w:rsidRPr="009C5BD4">
        <w:rPr>
          <w:rFonts w:ascii="Times New Roman" w:eastAsia="Batang" w:hAnsi="Times New Roman" w:cs="Times New Roman"/>
          <w:color w:val="000000" w:themeColor="text1"/>
          <w:sz w:val="20"/>
          <w:szCs w:val="20"/>
          <w:lang w:val="lv-LV"/>
        </w:rPr>
        <w:t xml:space="preserve">iepirkuma procedūras nolikumam </w:t>
      </w:r>
    </w:p>
    <w:p w14:paraId="1A5901D8" w14:textId="77777777" w:rsidR="00E94A71" w:rsidRPr="009C5BD4" w:rsidRDefault="00E94A71" w:rsidP="00E94A71">
      <w:pPr>
        <w:spacing w:after="0" w:line="240" w:lineRule="auto"/>
        <w:ind w:left="6379" w:right="-1" w:hanging="466"/>
        <w:jc w:val="right"/>
        <w:rPr>
          <w:rFonts w:ascii="Times New Roman" w:eastAsia="Batang" w:hAnsi="Times New Roman" w:cs="Times New Roman"/>
          <w:color w:val="000000" w:themeColor="text1"/>
          <w:sz w:val="20"/>
          <w:szCs w:val="20"/>
          <w:lang w:val="lv-LV"/>
        </w:rPr>
      </w:pPr>
      <w:r w:rsidRPr="009C5BD4">
        <w:rPr>
          <w:rFonts w:ascii="Times New Roman" w:eastAsia="Batang" w:hAnsi="Times New Roman" w:cs="Times New Roman"/>
          <w:color w:val="000000" w:themeColor="text1"/>
          <w:sz w:val="20"/>
          <w:szCs w:val="20"/>
          <w:lang w:val="lv-LV"/>
        </w:rPr>
        <w:t>Iepirkuma id. Nr.RS 2023/01/ZI</w:t>
      </w:r>
    </w:p>
    <w:p w14:paraId="63A87430" w14:textId="77777777" w:rsidR="00E94A71" w:rsidRDefault="00E94A71" w:rsidP="00E9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</w:p>
    <w:p w14:paraId="507E4288" w14:textId="77777777" w:rsidR="00E94A71" w:rsidRDefault="00E94A71" w:rsidP="00E9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7C1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FINANŠU PIEDĀVĀJUMS</w:t>
      </w:r>
    </w:p>
    <w:p w14:paraId="4184C602" w14:textId="77777777" w:rsidR="00A3188A" w:rsidRPr="00A3188A" w:rsidRDefault="00E94A71" w:rsidP="00A31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  <w:r w:rsidRPr="00B62A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 xml:space="preserve">iepirkuma procedūrā </w:t>
      </w:r>
      <w:bookmarkStart w:id="0" w:name="_Hlk149136688"/>
      <w:r w:rsidR="00A3188A" w:rsidRPr="00A3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“</w:t>
      </w:r>
      <w:bookmarkStart w:id="1" w:name="_Hlk149319230"/>
      <w:r w:rsidR="00A3188A" w:rsidRPr="00A3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Jauna frontālā riteņkrāvēja/iekrāvēja cietā kurināmā (šķeldas) transportēšanai operatīvais līzings (noma)</w:t>
      </w:r>
      <w:bookmarkEnd w:id="1"/>
      <w:r w:rsidR="00A3188A" w:rsidRPr="00A3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”</w:t>
      </w:r>
    </w:p>
    <w:bookmarkEnd w:id="0"/>
    <w:p w14:paraId="0F786486" w14:textId="05A07A86" w:rsidR="00E94A71" w:rsidRPr="00B62A04" w:rsidRDefault="00E94A71" w:rsidP="00E94A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  <w:r w:rsidRPr="00B62A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 xml:space="preserve"> </w:t>
      </w:r>
      <w:r w:rsidR="00A318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I</w:t>
      </w:r>
      <w:r w:rsidRPr="00B62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epirkuma identifikācijas Nr. RS 2023/01/ZI</w:t>
      </w:r>
    </w:p>
    <w:p w14:paraId="18B5241A" w14:textId="77777777" w:rsidR="00E94A71" w:rsidRDefault="00E94A71" w:rsidP="00E9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v-LV"/>
        </w:rPr>
      </w:pPr>
    </w:p>
    <w:p w14:paraId="7836AE7E" w14:textId="134D7C00" w:rsidR="00E94A71" w:rsidRDefault="00E94A71" w:rsidP="00E94A71">
      <w:pPr>
        <w:spacing w:line="256" w:lineRule="auto"/>
        <w:jc w:val="both"/>
        <w:rPr>
          <w:rFonts w:ascii="Times New Roman" w:eastAsia="Calibri" w:hAnsi="Times New Roman" w:cs="Times New Roman"/>
          <w:sz w:val="23"/>
          <w:szCs w:val="23"/>
          <w:lang w:val="lv-LV"/>
        </w:rPr>
      </w:pPr>
      <w:r w:rsidRPr="00DB0997">
        <w:rPr>
          <w:rFonts w:ascii="Times New Roman" w:eastAsia="Calibri" w:hAnsi="Times New Roman" w:cs="Times New Roman"/>
          <w:i/>
          <w:sz w:val="23"/>
          <w:szCs w:val="23"/>
          <w:u w:val="single"/>
          <w:lang w:val="lv-LV"/>
        </w:rPr>
        <w:t>(pretendenta nosaukums</w:t>
      </w:r>
      <w:r w:rsidRPr="00DB0997">
        <w:rPr>
          <w:rFonts w:ascii="Times New Roman" w:eastAsia="Calibri" w:hAnsi="Times New Roman" w:cs="Times New Roman"/>
          <w:i/>
          <w:sz w:val="23"/>
          <w:szCs w:val="23"/>
          <w:lang w:val="lv-LV"/>
        </w:rPr>
        <w:t xml:space="preserve">), </w:t>
      </w:r>
      <w:r w:rsidRPr="00DB0997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reģistrācijas Nr._______________, piedāvājam nodrošināt iepirkuma procedūrā </w:t>
      </w:r>
      <w:r w:rsidR="00A3188A" w:rsidRPr="00A3188A">
        <w:rPr>
          <w:rFonts w:ascii="Times New Roman" w:eastAsia="Lucida Sans Unicode" w:hAnsi="Times New Roman" w:cs="Times New Roman"/>
          <w:b/>
          <w:bCs/>
          <w:sz w:val="23"/>
          <w:szCs w:val="23"/>
          <w:lang w:val="lv-LV"/>
        </w:rPr>
        <w:t>“</w:t>
      </w:r>
      <w:bookmarkStart w:id="2" w:name="_Hlk148364624"/>
      <w:r w:rsidR="00A3188A" w:rsidRPr="00A3188A">
        <w:rPr>
          <w:rFonts w:ascii="Times New Roman" w:eastAsia="Lucida Sans Unicode" w:hAnsi="Times New Roman" w:cs="Times New Roman"/>
          <w:b/>
          <w:bCs/>
          <w:sz w:val="23"/>
          <w:szCs w:val="23"/>
          <w:lang w:val="lv-LV"/>
        </w:rPr>
        <w:t>Jauna frontālā riteņkrāvēja/iekrāvēja cietā kurināmā (šķeldas) transportēšanai operatīvais līzings (noma)”</w:t>
      </w:r>
      <w:bookmarkEnd w:id="2"/>
      <w:r>
        <w:rPr>
          <w:rFonts w:ascii="Times New Roman" w:eastAsia="Lucida Sans Unicode" w:hAnsi="Times New Roman" w:cs="Times New Roman"/>
          <w:b/>
          <w:bCs/>
          <w:sz w:val="23"/>
          <w:szCs w:val="23"/>
          <w:lang w:val="lv-LV"/>
        </w:rPr>
        <w:t xml:space="preserve">, </w:t>
      </w:r>
      <w:r w:rsidRPr="00A3188A">
        <w:rPr>
          <w:rFonts w:ascii="Times New Roman" w:eastAsia="Lucida Sans Unicode" w:hAnsi="Times New Roman" w:cs="Times New Roman"/>
          <w:bCs/>
          <w:sz w:val="23"/>
          <w:szCs w:val="23"/>
          <w:lang w:val="lv-LV"/>
        </w:rPr>
        <w:t>iepirkuma identifikācijas Nr. RS 2023/01/ZI</w:t>
      </w:r>
      <w:r w:rsidRPr="00A3188A">
        <w:rPr>
          <w:rFonts w:ascii="Times New Roman" w:eastAsia="Calibri" w:hAnsi="Times New Roman" w:cs="Times New Roman"/>
          <w:bCs/>
          <w:sz w:val="23"/>
          <w:szCs w:val="23"/>
          <w:lang w:val="lv-LV"/>
        </w:rPr>
        <w:t>,</w:t>
      </w:r>
      <w:r w:rsidRPr="00DB0997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lv-LV"/>
        </w:rPr>
        <w:t>traktortehnikas</w:t>
      </w:r>
      <w:r w:rsidRPr="00DB0997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 nomu (operatīvo līzingu) saskaņā ar </w:t>
      </w:r>
      <w:r>
        <w:rPr>
          <w:rFonts w:ascii="Times New Roman" w:eastAsia="Calibri" w:hAnsi="Times New Roman" w:cs="Times New Roman"/>
          <w:sz w:val="23"/>
          <w:szCs w:val="23"/>
          <w:lang w:val="lv-LV"/>
        </w:rPr>
        <w:t>I</w:t>
      </w:r>
      <w:r w:rsidRPr="00DB0997">
        <w:rPr>
          <w:rFonts w:ascii="Times New Roman" w:eastAsia="Calibri" w:hAnsi="Times New Roman" w:cs="Times New Roman"/>
          <w:sz w:val="23"/>
          <w:szCs w:val="23"/>
          <w:lang w:val="lv-LV"/>
        </w:rPr>
        <w:t>epirkum</w:t>
      </w:r>
      <w:r>
        <w:rPr>
          <w:rFonts w:ascii="Times New Roman" w:eastAsia="Calibri" w:hAnsi="Times New Roman" w:cs="Times New Roman"/>
          <w:sz w:val="23"/>
          <w:szCs w:val="23"/>
          <w:lang w:val="lv-LV"/>
        </w:rPr>
        <w:t>a</w:t>
      </w:r>
      <w:r w:rsidRPr="00DB0997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 procedūras nolikuma un tehniskās specifikācijas prasībām par summu</w:t>
      </w:r>
      <w:r w:rsidR="00A3188A">
        <w:rPr>
          <w:rFonts w:ascii="Times New Roman" w:eastAsia="Calibri" w:hAnsi="Times New Roman" w:cs="Times New Roman"/>
          <w:sz w:val="23"/>
          <w:szCs w:val="23"/>
          <w:lang w:val="lv-LV"/>
        </w:rPr>
        <w:t>:</w:t>
      </w:r>
    </w:p>
    <w:p w14:paraId="64D108B0" w14:textId="77777777" w:rsidR="00E94A71" w:rsidRDefault="00E94A71" w:rsidP="00E94A71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4"/>
        <w:gridCol w:w="1603"/>
        <w:gridCol w:w="1681"/>
        <w:gridCol w:w="1687"/>
        <w:gridCol w:w="1603"/>
        <w:gridCol w:w="1172"/>
      </w:tblGrid>
      <w:tr w:rsidR="00E94A71" w:rsidRPr="003865DB" w14:paraId="14F37969" w14:textId="77777777" w:rsidTr="00E94A71">
        <w:trPr>
          <w:trHeight w:val="1620"/>
        </w:trPr>
        <w:tc>
          <w:tcPr>
            <w:tcW w:w="857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207057" w14:textId="77777777" w:rsidR="00E94A71" w:rsidRPr="003865DB" w:rsidRDefault="00E94A71" w:rsidP="009224D6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Traktortehnikas</w:t>
            </w:r>
            <w:r w:rsidRPr="003865DB">
              <w:rPr>
                <w:rStyle w:val="normaltextrun"/>
                <w:sz w:val="20"/>
                <w:szCs w:val="20"/>
              </w:rPr>
              <w:t xml:space="preserve"> marka, modelis</w:t>
            </w:r>
          </w:p>
        </w:tc>
        <w:tc>
          <w:tcPr>
            <w:tcW w:w="857" w:type="pct"/>
            <w:shd w:val="clear" w:color="auto" w:fill="E7E6E6" w:themeFill="background2"/>
            <w:vAlign w:val="center"/>
            <w:hideMark/>
          </w:tcPr>
          <w:p w14:paraId="71828402" w14:textId="77777777" w:rsidR="00E94A71" w:rsidRPr="00E94A71" w:rsidRDefault="00E94A71" w:rsidP="009224D6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94A71">
              <w:rPr>
                <w:rStyle w:val="normaltextrun"/>
                <w:sz w:val="20"/>
                <w:szCs w:val="20"/>
              </w:rPr>
              <w:t>Traktortehnikas pārdošanas cena</w:t>
            </w:r>
            <w:r w:rsidRPr="00E94A71">
              <w:rPr>
                <w:rStyle w:val="eop"/>
                <w:sz w:val="20"/>
                <w:szCs w:val="20"/>
              </w:rPr>
              <w:t>*</w:t>
            </w:r>
          </w:p>
          <w:p w14:paraId="370F28BA" w14:textId="77777777" w:rsidR="00E94A71" w:rsidRPr="003865DB" w:rsidRDefault="00E94A71" w:rsidP="009224D6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94A71">
              <w:rPr>
                <w:rStyle w:val="normaltextrun"/>
                <w:sz w:val="20"/>
                <w:szCs w:val="20"/>
              </w:rPr>
              <w:t>[EUR bez PVN]</w:t>
            </w:r>
          </w:p>
        </w:tc>
        <w:tc>
          <w:tcPr>
            <w:tcW w:w="899" w:type="pct"/>
            <w:shd w:val="clear" w:color="auto" w:fill="E7E6E6" w:themeFill="background2"/>
            <w:vAlign w:val="center"/>
            <w:hideMark/>
          </w:tcPr>
          <w:p w14:paraId="5B9A45E7" w14:textId="77777777" w:rsidR="00E94A71" w:rsidRPr="003865DB" w:rsidRDefault="00E94A71" w:rsidP="009224D6">
            <w:pPr>
              <w:pStyle w:val="paragraph"/>
              <w:spacing w:before="120" w:beforeAutospacing="0" w:after="0" w:afterAutospacing="0"/>
              <w:ind w:left="120" w:right="120"/>
              <w:jc w:val="center"/>
              <w:textAlignment w:val="baseline"/>
              <w:rPr>
                <w:sz w:val="20"/>
                <w:szCs w:val="20"/>
              </w:rPr>
            </w:pPr>
            <w:r w:rsidRPr="003865DB">
              <w:rPr>
                <w:rStyle w:val="normaltextrun"/>
                <w:sz w:val="20"/>
                <w:szCs w:val="20"/>
              </w:rPr>
              <w:t>Ikmēneša operatīvā līzinga (nomas) maksājums**</w:t>
            </w:r>
          </w:p>
          <w:p w14:paraId="4878A30E" w14:textId="77777777" w:rsidR="00E94A71" w:rsidRPr="003865DB" w:rsidRDefault="00E94A71" w:rsidP="009224D6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865DB">
              <w:rPr>
                <w:rStyle w:val="normaltextrun"/>
                <w:sz w:val="20"/>
                <w:szCs w:val="20"/>
              </w:rPr>
              <w:t>[EUR bez PVN]</w:t>
            </w:r>
          </w:p>
        </w:tc>
        <w:tc>
          <w:tcPr>
            <w:tcW w:w="902" w:type="pct"/>
            <w:shd w:val="clear" w:color="auto" w:fill="E7E6E6" w:themeFill="background2"/>
            <w:vAlign w:val="center"/>
          </w:tcPr>
          <w:p w14:paraId="57143EC1" w14:textId="77777777" w:rsidR="00E94A71" w:rsidRPr="003865DB" w:rsidRDefault="00E94A71" w:rsidP="009224D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bookmarkStart w:id="3" w:name="_Hlk130810264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Traktortehnikas</w:t>
            </w:r>
            <w:r w:rsidRPr="003865D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atlikusī vērtība, beidzoties operatīvā līzinga periodam</w:t>
            </w:r>
            <w:bookmarkEnd w:id="3"/>
            <w:r w:rsidRPr="003865D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, kas nedrīkst būt </w:t>
            </w:r>
            <w:r w:rsidRPr="00E94A7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zemāka kā 30% (trīsdesmit procenti) no transportlīdzekļa vērtības piegādes</w:t>
            </w:r>
            <w:r w:rsidRPr="003865D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brīdī***</w:t>
            </w:r>
          </w:p>
          <w:p w14:paraId="3EB856D1" w14:textId="77777777" w:rsidR="00E94A71" w:rsidRPr="003865DB" w:rsidRDefault="00E94A71" w:rsidP="009224D6">
            <w:pPr>
              <w:spacing w:before="120"/>
              <w:jc w:val="center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3865D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[EUR bez PVN]</w:t>
            </w:r>
          </w:p>
        </w:tc>
        <w:tc>
          <w:tcPr>
            <w:tcW w:w="857" w:type="pct"/>
            <w:shd w:val="clear" w:color="auto" w:fill="E7E6E6" w:themeFill="background2"/>
            <w:vAlign w:val="center"/>
            <w:hideMark/>
          </w:tcPr>
          <w:p w14:paraId="698ED7F5" w14:textId="77777777" w:rsidR="00E94A71" w:rsidRDefault="00E94A71" w:rsidP="009224D6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</w:rPr>
            </w:pPr>
            <w:r w:rsidRPr="00E94A71">
              <w:rPr>
                <w:rStyle w:val="normaltextrun"/>
                <w:sz w:val="20"/>
                <w:szCs w:val="20"/>
              </w:rPr>
              <w:t>Traktortehnikas apkopes izmaksas sasniedzot 2000 motorstundas</w:t>
            </w:r>
          </w:p>
          <w:p w14:paraId="09894D9A" w14:textId="45CE86D8" w:rsidR="00E94A71" w:rsidRPr="00550A45" w:rsidRDefault="00E94A71" w:rsidP="009224D6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50A45">
              <w:rPr>
                <w:rStyle w:val="normaltextrun"/>
                <w:sz w:val="20"/>
                <w:szCs w:val="20"/>
              </w:rPr>
              <w:t>[EUR bez PVN]</w:t>
            </w:r>
          </w:p>
        </w:tc>
        <w:tc>
          <w:tcPr>
            <w:tcW w:w="627" w:type="pct"/>
            <w:shd w:val="clear" w:color="auto" w:fill="E7E6E6" w:themeFill="background2"/>
          </w:tcPr>
          <w:p w14:paraId="7372C4C4" w14:textId="77777777" w:rsidR="00E94A71" w:rsidRDefault="00E94A71" w:rsidP="009224D6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Pirmās iemaksas apmērs (EUR bez PVN)</w:t>
            </w:r>
          </w:p>
        </w:tc>
      </w:tr>
      <w:tr w:rsidR="00E94A71" w:rsidRPr="003865DB" w14:paraId="70D6BCFB" w14:textId="77777777" w:rsidTr="00E94A71">
        <w:trPr>
          <w:trHeight w:val="120"/>
        </w:trPr>
        <w:tc>
          <w:tcPr>
            <w:tcW w:w="857" w:type="pct"/>
            <w:shd w:val="clear" w:color="auto" w:fill="E7E6E6" w:themeFill="background2"/>
            <w:hideMark/>
          </w:tcPr>
          <w:p w14:paraId="260D8979" w14:textId="6AC61F33" w:rsidR="00E94A71" w:rsidRPr="003865DB" w:rsidRDefault="00E94A71" w:rsidP="009224D6">
            <w:pPr>
              <w:pStyle w:val="paragraph"/>
              <w:jc w:val="center"/>
              <w:textAlignment w:val="baseline"/>
              <w:rPr>
                <w:sz w:val="20"/>
                <w:szCs w:val="20"/>
              </w:rPr>
            </w:pPr>
            <w:r w:rsidRPr="003865DB">
              <w:rPr>
                <w:rStyle w:val="normaltextrun"/>
                <w:sz w:val="20"/>
                <w:szCs w:val="20"/>
              </w:rPr>
              <w:t>[</w:t>
            </w:r>
            <w:r>
              <w:rPr>
                <w:rStyle w:val="normaltextrun"/>
                <w:sz w:val="20"/>
                <w:szCs w:val="20"/>
              </w:rPr>
              <w:t>1</w:t>
            </w:r>
            <w:r w:rsidRPr="003865DB">
              <w:rPr>
                <w:rStyle w:val="normaltextrun"/>
                <w:sz w:val="20"/>
                <w:szCs w:val="20"/>
              </w:rPr>
              <w:t>]</w:t>
            </w:r>
            <w:r w:rsidRPr="003865D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857" w:type="pct"/>
            <w:shd w:val="clear" w:color="auto" w:fill="E7E6E6" w:themeFill="background2"/>
            <w:hideMark/>
          </w:tcPr>
          <w:p w14:paraId="705FA645" w14:textId="39E84B58" w:rsidR="00E94A71" w:rsidRPr="003865DB" w:rsidRDefault="00E94A71" w:rsidP="009224D6">
            <w:pPr>
              <w:pStyle w:val="paragraph"/>
              <w:jc w:val="center"/>
              <w:textAlignment w:val="baseline"/>
              <w:rPr>
                <w:sz w:val="20"/>
                <w:szCs w:val="20"/>
              </w:rPr>
            </w:pPr>
            <w:r w:rsidRPr="003865DB">
              <w:rPr>
                <w:rStyle w:val="normaltextrun"/>
                <w:sz w:val="20"/>
                <w:szCs w:val="20"/>
              </w:rPr>
              <w:t>[</w:t>
            </w:r>
            <w:r>
              <w:rPr>
                <w:rStyle w:val="normaltextrun"/>
                <w:sz w:val="20"/>
                <w:szCs w:val="20"/>
              </w:rPr>
              <w:t>2</w:t>
            </w:r>
            <w:r w:rsidRPr="003865DB">
              <w:rPr>
                <w:rStyle w:val="normaltextrun"/>
                <w:sz w:val="20"/>
                <w:szCs w:val="20"/>
              </w:rPr>
              <w:t>]</w:t>
            </w:r>
            <w:r w:rsidRPr="003865D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899" w:type="pct"/>
            <w:shd w:val="clear" w:color="auto" w:fill="E7E6E6" w:themeFill="background2"/>
            <w:hideMark/>
          </w:tcPr>
          <w:p w14:paraId="207A9191" w14:textId="3BB92A62" w:rsidR="00E94A71" w:rsidRPr="003865DB" w:rsidRDefault="00E94A71" w:rsidP="009224D6">
            <w:pPr>
              <w:pStyle w:val="paragraph"/>
              <w:ind w:left="105" w:right="90"/>
              <w:jc w:val="center"/>
              <w:textAlignment w:val="baseline"/>
              <w:rPr>
                <w:sz w:val="20"/>
                <w:szCs w:val="20"/>
              </w:rPr>
            </w:pPr>
            <w:r w:rsidRPr="003865DB">
              <w:rPr>
                <w:rStyle w:val="normaltextrun"/>
                <w:sz w:val="20"/>
                <w:szCs w:val="20"/>
              </w:rPr>
              <w:t>[</w:t>
            </w:r>
            <w:r>
              <w:rPr>
                <w:rStyle w:val="normaltextrun"/>
                <w:sz w:val="20"/>
                <w:szCs w:val="20"/>
              </w:rPr>
              <w:t>3</w:t>
            </w:r>
            <w:r w:rsidRPr="003865DB">
              <w:rPr>
                <w:rStyle w:val="normaltextrun"/>
                <w:sz w:val="20"/>
                <w:szCs w:val="20"/>
              </w:rPr>
              <w:t>]</w:t>
            </w:r>
            <w:r w:rsidRPr="003865D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02" w:type="pct"/>
            <w:shd w:val="clear" w:color="auto" w:fill="E7E6E6" w:themeFill="background2"/>
          </w:tcPr>
          <w:p w14:paraId="192F1BC1" w14:textId="76407D98" w:rsidR="00E94A71" w:rsidRPr="003865DB" w:rsidRDefault="00E94A71" w:rsidP="009224D6">
            <w:pPr>
              <w:pStyle w:val="paragraph"/>
              <w:ind w:left="105" w:right="90"/>
              <w:jc w:val="center"/>
              <w:textAlignment w:val="baseline"/>
              <w:rPr>
                <w:rStyle w:val="normaltextrun"/>
                <w:sz w:val="20"/>
                <w:szCs w:val="20"/>
              </w:rPr>
            </w:pPr>
            <w:r w:rsidRPr="003865DB">
              <w:rPr>
                <w:rStyle w:val="normaltextrun"/>
                <w:sz w:val="20"/>
                <w:szCs w:val="20"/>
              </w:rPr>
              <w:t>[</w:t>
            </w:r>
            <w:r>
              <w:rPr>
                <w:rStyle w:val="normaltextrun"/>
                <w:sz w:val="20"/>
                <w:szCs w:val="20"/>
              </w:rPr>
              <w:t>4</w:t>
            </w:r>
            <w:r w:rsidRPr="003865DB">
              <w:rPr>
                <w:rStyle w:val="normaltextrun"/>
                <w:sz w:val="20"/>
                <w:szCs w:val="20"/>
              </w:rPr>
              <w:t>]</w:t>
            </w:r>
          </w:p>
        </w:tc>
        <w:tc>
          <w:tcPr>
            <w:tcW w:w="857" w:type="pct"/>
            <w:shd w:val="clear" w:color="auto" w:fill="E7E6E6" w:themeFill="background2"/>
            <w:hideMark/>
          </w:tcPr>
          <w:p w14:paraId="3F4877CE" w14:textId="231F28DB" w:rsidR="00E94A71" w:rsidRPr="003865DB" w:rsidRDefault="00E94A71" w:rsidP="009224D6">
            <w:pPr>
              <w:pStyle w:val="paragraph"/>
              <w:ind w:left="105" w:right="90"/>
              <w:jc w:val="center"/>
              <w:textAlignment w:val="baseline"/>
              <w:rPr>
                <w:rStyle w:val="normaltextrun"/>
                <w:sz w:val="20"/>
                <w:szCs w:val="20"/>
              </w:rPr>
            </w:pPr>
            <w:r w:rsidRPr="00E94A71">
              <w:rPr>
                <w:rStyle w:val="normaltextrun"/>
                <w:sz w:val="20"/>
                <w:szCs w:val="20"/>
              </w:rPr>
              <w:t>[5]</w:t>
            </w:r>
          </w:p>
        </w:tc>
        <w:tc>
          <w:tcPr>
            <w:tcW w:w="627" w:type="pct"/>
            <w:shd w:val="clear" w:color="auto" w:fill="E7E6E6" w:themeFill="background2"/>
          </w:tcPr>
          <w:p w14:paraId="5A28F89E" w14:textId="2AE34675" w:rsidR="00E94A71" w:rsidRPr="009C5BD4" w:rsidRDefault="00E94A71" w:rsidP="009224D6">
            <w:pPr>
              <w:pStyle w:val="paragraph"/>
              <w:ind w:left="105" w:right="90"/>
              <w:jc w:val="center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[6]</w:t>
            </w:r>
          </w:p>
        </w:tc>
      </w:tr>
      <w:tr w:rsidR="00E94A71" w:rsidRPr="003865DB" w14:paraId="4CB962FE" w14:textId="77777777" w:rsidTr="00E94A71">
        <w:trPr>
          <w:trHeight w:val="300"/>
        </w:trPr>
        <w:tc>
          <w:tcPr>
            <w:tcW w:w="857" w:type="pct"/>
            <w:hideMark/>
          </w:tcPr>
          <w:p w14:paraId="649CD36F" w14:textId="77777777" w:rsidR="00E94A71" w:rsidRPr="003865DB" w:rsidRDefault="00E94A71" w:rsidP="009224D6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3865D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857" w:type="pct"/>
            <w:hideMark/>
          </w:tcPr>
          <w:p w14:paraId="6F68403C" w14:textId="77777777" w:rsidR="00E94A71" w:rsidRPr="003865DB" w:rsidRDefault="00E94A71" w:rsidP="009224D6">
            <w:pPr>
              <w:pStyle w:val="paragraph"/>
              <w:jc w:val="right"/>
              <w:textAlignment w:val="baseline"/>
              <w:rPr>
                <w:sz w:val="20"/>
                <w:szCs w:val="20"/>
              </w:rPr>
            </w:pPr>
            <w:r w:rsidRPr="003865D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899" w:type="pct"/>
            <w:hideMark/>
          </w:tcPr>
          <w:p w14:paraId="0D7521C1" w14:textId="77777777" w:rsidR="00E94A71" w:rsidRPr="003865DB" w:rsidRDefault="00E94A71" w:rsidP="009224D6">
            <w:pPr>
              <w:pStyle w:val="paragraph"/>
              <w:jc w:val="right"/>
              <w:textAlignment w:val="baseline"/>
              <w:rPr>
                <w:sz w:val="20"/>
                <w:szCs w:val="20"/>
              </w:rPr>
            </w:pPr>
            <w:r w:rsidRPr="003865D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02" w:type="pct"/>
          </w:tcPr>
          <w:p w14:paraId="619CA893" w14:textId="77777777" w:rsidR="00E94A71" w:rsidRPr="003865DB" w:rsidRDefault="00E94A71" w:rsidP="009224D6">
            <w:pPr>
              <w:pStyle w:val="paragraph"/>
              <w:jc w:val="right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857" w:type="pct"/>
            <w:hideMark/>
          </w:tcPr>
          <w:p w14:paraId="51FC09D6" w14:textId="77777777" w:rsidR="00E94A71" w:rsidRPr="003865DB" w:rsidRDefault="00E94A71" w:rsidP="009224D6">
            <w:pPr>
              <w:pStyle w:val="paragraph"/>
              <w:jc w:val="right"/>
              <w:textAlignment w:val="baseline"/>
              <w:rPr>
                <w:sz w:val="20"/>
                <w:szCs w:val="20"/>
              </w:rPr>
            </w:pPr>
            <w:r w:rsidRPr="003865D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627" w:type="pct"/>
          </w:tcPr>
          <w:p w14:paraId="4D1228F0" w14:textId="77777777" w:rsidR="00E94A71" w:rsidRPr="003865DB" w:rsidRDefault="00E94A71" w:rsidP="009224D6">
            <w:pPr>
              <w:pStyle w:val="paragraph"/>
              <w:jc w:val="right"/>
              <w:textAlignment w:val="baseline"/>
              <w:rPr>
                <w:rStyle w:val="eop"/>
                <w:sz w:val="20"/>
                <w:szCs w:val="20"/>
              </w:rPr>
            </w:pPr>
          </w:p>
        </w:tc>
      </w:tr>
    </w:tbl>
    <w:p w14:paraId="25EFB2C0" w14:textId="77777777" w:rsidR="00E94A71" w:rsidRDefault="00E94A71" w:rsidP="00E94A71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sz w:val="23"/>
          <w:szCs w:val="23"/>
        </w:rPr>
      </w:pPr>
    </w:p>
    <w:p w14:paraId="288B98AA" w14:textId="6248333A" w:rsidR="00E94A71" w:rsidRPr="003865DB" w:rsidRDefault="00E94A71" w:rsidP="00E94A71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sz w:val="23"/>
          <w:szCs w:val="23"/>
        </w:rPr>
      </w:pPr>
      <w:r w:rsidRPr="003865DB">
        <w:rPr>
          <w:rStyle w:val="normaltextrun"/>
          <w:sz w:val="23"/>
          <w:szCs w:val="23"/>
        </w:rPr>
        <w:t>*</w:t>
      </w:r>
      <w:r>
        <w:rPr>
          <w:rStyle w:val="normaltextrun"/>
          <w:sz w:val="23"/>
          <w:szCs w:val="23"/>
        </w:rPr>
        <w:t xml:space="preserve">Traktortehnikas vienības </w:t>
      </w:r>
      <w:r w:rsidRPr="00550A45">
        <w:rPr>
          <w:rStyle w:val="normaltextrun"/>
          <w:sz w:val="23"/>
          <w:szCs w:val="23"/>
        </w:rPr>
        <w:t>pārdošanas cena, kura nevar tikt pārsniegta</w:t>
      </w:r>
      <w:r w:rsidR="00550A45" w:rsidRPr="00550A45">
        <w:rPr>
          <w:rStyle w:val="normaltextrun"/>
          <w:sz w:val="23"/>
          <w:szCs w:val="23"/>
        </w:rPr>
        <w:t xml:space="preserve"> visā Līguma darbības laikā</w:t>
      </w:r>
      <w:r w:rsidRPr="00550A45">
        <w:rPr>
          <w:rStyle w:val="normaltextrun"/>
          <w:sz w:val="23"/>
          <w:szCs w:val="23"/>
        </w:rPr>
        <w:t>, ja Pasūtītājs pēc 36 mēnešu termiņa iestāšanās izvēlas izmantot pirmpirkuma tiesības vai turpināt nomu;</w:t>
      </w:r>
    </w:p>
    <w:p w14:paraId="0E6C6B02" w14:textId="77777777" w:rsidR="00E94A71" w:rsidRPr="003865DB" w:rsidRDefault="00E94A71" w:rsidP="00E94A71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sz w:val="23"/>
          <w:szCs w:val="23"/>
        </w:rPr>
      </w:pPr>
      <w:r w:rsidRPr="003865DB">
        <w:rPr>
          <w:rStyle w:val="normaltextrun"/>
          <w:sz w:val="23"/>
          <w:szCs w:val="23"/>
        </w:rPr>
        <w:t>**ikmēneša operatīvā līzinga (nomas) maksājums paliek nemainīgs visā līguma darbības laikā;</w:t>
      </w:r>
    </w:p>
    <w:p w14:paraId="7051D682" w14:textId="77777777" w:rsidR="00E94A71" w:rsidRDefault="00E94A71" w:rsidP="00E94A71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sz w:val="23"/>
          <w:szCs w:val="23"/>
        </w:rPr>
      </w:pPr>
      <w:r w:rsidRPr="003865DB">
        <w:rPr>
          <w:rStyle w:val="normaltextrun"/>
          <w:sz w:val="23"/>
          <w:szCs w:val="23"/>
        </w:rPr>
        <w:t xml:space="preserve">***Pasūtītājam par šādu summu ir tiesības atpirkt </w:t>
      </w:r>
      <w:r>
        <w:rPr>
          <w:rStyle w:val="normaltextrun"/>
          <w:sz w:val="23"/>
          <w:szCs w:val="23"/>
        </w:rPr>
        <w:t>traktortehniku</w:t>
      </w:r>
      <w:r w:rsidRPr="003865DB">
        <w:rPr>
          <w:rStyle w:val="normaltextrun"/>
          <w:sz w:val="23"/>
          <w:szCs w:val="23"/>
        </w:rPr>
        <w:t xml:space="preserve"> savā īpašumā.</w:t>
      </w:r>
    </w:p>
    <w:p w14:paraId="70E2EDC7" w14:textId="77777777" w:rsidR="00E94A71" w:rsidRPr="003865DB" w:rsidRDefault="00E94A71" w:rsidP="00E94A71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sz w:val="23"/>
          <w:szCs w:val="23"/>
        </w:rPr>
      </w:pPr>
    </w:p>
    <w:p w14:paraId="0BCA358A" w14:textId="77777777" w:rsidR="00E94A71" w:rsidRPr="003865DB" w:rsidRDefault="00E94A71" w:rsidP="00E94A71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val="lv-LV"/>
        </w:rPr>
      </w:pPr>
      <w:r w:rsidRPr="003865DB">
        <w:rPr>
          <w:rFonts w:ascii="Times New Roman" w:eastAsia="Calibri" w:hAnsi="Times New Roman" w:cs="Times New Roman"/>
          <w:b/>
          <w:bCs/>
          <w:sz w:val="23"/>
          <w:szCs w:val="23"/>
          <w:lang w:val="lv-LV"/>
        </w:rPr>
        <w:t xml:space="preserve">Apstiprinām, ka 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val="lv-LV"/>
        </w:rPr>
        <w:t xml:space="preserve">kopējā </w:t>
      </w:r>
      <w:r w:rsidRPr="003865DB">
        <w:rPr>
          <w:rFonts w:ascii="Times New Roman" w:eastAsia="Calibri" w:hAnsi="Times New Roman" w:cs="Times New Roman"/>
          <w:b/>
          <w:bCs/>
          <w:sz w:val="23"/>
          <w:szCs w:val="23"/>
          <w:lang w:val="lv-LV"/>
        </w:rPr>
        <w:t>finanšu piedāvājuma cenā ir iekļautas šādas izmaksas:</w:t>
      </w:r>
    </w:p>
    <w:p w14:paraId="67749FD6" w14:textId="77A9361B" w:rsidR="00E94A71" w:rsidRPr="00F10116" w:rsidRDefault="00E94A71" w:rsidP="00E94A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lv-LV"/>
        </w:rPr>
      </w:pPr>
      <w:r w:rsidRPr="00F10116">
        <w:rPr>
          <w:rFonts w:ascii="Times New Roman" w:eastAsia="Calibri" w:hAnsi="Times New Roman" w:cs="Times New Roman"/>
          <w:sz w:val="23"/>
          <w:szCs w:val="23"/>
          <w:lang w:val="lv-LV"/>
        </w:rPr>
        <w:t>Visas tiešās un netiešās izmaksas atbilstoši tehniskās specifikācijas prasībām, tai skaitā, bet ne tikai, piedāvātās traktortehnikas piegādes izmaksas</w:t>
      </w:r>
      <w:r>
        <w:rPr>
          <w:rFonts w:ascii="Times New Roman" w:eastAsia="Calibri" w:hAnsi="Times New Roman" w:cs="Times New Roman"/>
          <w:sz w:val="23"/>
          <w:szCs w:val="23"/>
          <w:lang w:val="lv-LV"/>
        </w:rPr>
        <w:t>,</w:t>
      </w:r>
      <w:r w:rsidRPr="00F10116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 darbinieku alga, transporta, muitas nodokļu nomaksas, pirms pārdošanas sagatavošanas, obligātās civiltiesiskās apdrošināšanas polise (OCTA</w:t>
      </w:r>
      <w:r w:rsidRPr="00E94A71">
        <w:rPr>
          <w:rFonts w:ascii="Times New Roman" w:eastAsia="Calibri" w:hAnsi="Times New Roman" w:cs="Times New Roman"/>
          <w:sz w:val="23"/>
          <w:szCs w:val="23"/>
          <w:lang w:val="lv-LV"/>
        </w:rPr>
        <w:t>) uz vis</w:t>
      </w:r>
      <w:r>
        <w:rPr>
          <w:rFonts w:ascii="Times New Roman" w:eastAsia="Calibri" w:hAnsi="Times New Roman" w:cs="Times New Roman"/>
          <w:sz w:val="23"/>
          <w:szCs w:val="23"/>
          <w:lang w:val="lv-LV"/>
        </w:rPr>
        <w:t>u periodu un KASKO</w:t>
      </w:r>
      <w:r w:rsidRPr="00E94A71">
        <w:rPr>
          <w:rFonts w:ascii="Times New Roman" w:eastAsia="Calibri" w:hAnsi="Times New Roman" w:cs="Times New Roman"/>
          <w:sz w:val="23"/>
          <w:szCs w:val="23"/>
          <w:lang w:val="lv-LV"/>
        </w:rPr>
        <w:t>. Finanšu piedāvājumā norādītajās garantijas tehnisko apkopju izmaksās ir ietverti darbu un materiālu izdevumi (</w:t>
      </w:r>
      <w:r w:rsidRPr="00F10116">
        <w:rPr>
          <w:rFonts w:ascii="Times New Roman" w:eastAsia="Calibri" w:hAnsi="Times New Roman" w:cs="Times New Roman"/>
          <w:sz w:val="23"/>
          <w:szCs w:val="23"/>
          <w:lang w:val="lv-LV"/>
        </w:rPr>
        <w:t>t. sk. eļļas, smērvielas, tehniskie šķidrumi, filtri, kā arī citi materiāli un darbi, atbilstoši traktortehnikas ražotāja prasībām un rekomendācijām)</w:t>
      </w:r>
      <w:r>
        <w:rPr>
          <w:rFonts w:ascii="Times New Roman" w:eastAsia="Calibri" w:hAnsi="Times New Roman" w:cs="Times New Roman"/>
          <w:sz w:val="23"/>
          <w:szCs w:val="23"/>
          <w:lang w:val="lv-LV"/>
        </w:rPr>
        <w:t>;</w:t>
      </w:r>
    </w:p>
    <w:p w14:paraId="0024B122" w14:textId="77777777" w:rsidR="00E94A71" w:rsidRPr="003865DB" w:rsidRDefault="00E94A71" w:rsidP="00E94A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lv-LV"/>
        </w:rPr>
      </w:pPr>
      <w:r w:rsidRPr="003865DB">
        <w:rPr>
          <w:rFonts w:ascii="Times New Roman" w:eastAsia="Calibri" w:hAnsi="Times New Roman" w:cs="Times New Roman"/>
          <w:sz w:val="23"/>
          <w:szCs w:val="23"/>
          <w:lang w:val="lv-LV"/>
        </w:rPr>
        <w:t>Administratīvās izmaksas par operatīvā līzinga piešķiršanu un noformēšanu</w:t>
      </w:r>
      <w:r>
        <w:rPr>
          <w:rFonts w:ascii="Times New Roman" w:eastAsia="Calibri" w:hAnsi="Times New Roman" w:cs="Times New Roman"/>
          <w:sz w:val="23"/>
          <w:szCs w:val="23"/>
          <w:lang w:val="lv-LV"/>
        </w:rPr>
        <w:t>,</w:t>
      </w:r>
      <w:r w:rsidRPr="00F10116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 procentu likme, tai skaitā EURIBOR</w:t>
      </w:r>
      <w:r w:rsidRPr="003865DB">
        <w:rPr>
          <w:rFonts w:ascii="Times New Roman" w:eastAsia="Calibri" w:hAnsi="Times New Roman" w:cs="Times New Roman"/>
          <w:sz w:val="23"/>
          <w:szCs w:val="23"/>
          <w:lang w:val="lv-LV"/>
        </w:rPr>
        <w:t>;</w:t>
      </w:r>
    </w:p>
    <w:p w14:paraId="1AAC1768" w14:textId="77777777" w:rsidR="00E94A71" w:rsidRPr="003865DB" w:rsidRDefault="00E94A71" w:rsidP="00E94A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lv-LV"/>
        </w:rPr>
      </w:pPr>
      <w:r>
        <w:rPr>
          <w:rFonts w:ascii="Times New Roman" w:eastAsia="Calibri" w:hAnsi="Times New Roman" w:cs="Times New Roman"/>
          <w:sz w:val="23"/>
          <w:szCs w:val="23"/>
          <w:lang w:val="lv-LV"/>
        </w:rPr>
        <w:t>Traktortehnikas</w:t>
      </w:r>
      <w:r w:rsidRPr="003865DB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 garantijas termiņ</w:t>
      </w:r>
      <w:r>
        <w:rPr>
          <w:rFonts w:ascii="Times New Roman" w:eastAsia="Calibri" w:hAnsi="Times New Roman" w:cs="Times New Roman"/>
          <w:sz w:val="23"/>
          <w:szCs w:val="23"/>
          <w:lang w:val="lv-LV"/>
        </w:rPr>
        <w:t>a</w:t>
      </w:r>
      <w:r w:rsidRPr="00F10116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 tehnisko apkopju un garantijas remonta darbu, kā arī visas citas ar traktortehnikas piegādi saistītās izmaksas</w:t>
      </w:r>
      <w:r>
        <w:rPr>
          <w:rFonts w:ascii="Times New Roman" w:eastAsia="Calibri" w:hAnsi="Times New Roman" w:cs="Times New Roman"/>
          <w:sz w:val="23"/>
          <w:szCs w:val="23"/>
          <w:lang w:val="lv-LV"/>
        </w:rPr>
        <w:t>.</w:t>
      </w:r>
    </w:p>
    <w:p w14:paraId="570AB125" w14:textId="77777777" w:rsidR="00E94A71" w:rsidRDefault="00E94A71" w:rsidP="00E94A7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lv-LV"/>
        </w:rPr>
      </w:pPr>
    </w:p>
    <w:p w14:paraId="503AC1C5" w14:textId="77777777" w:rsidR="00E94A71" w:rsidRPr="00E94A71" w:rsidRDefault="00E94A71" w:rsidP="00E94A7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val="lv-LV"/>
        </w:rPr>
      </w:pPr>
      <w:r w:rsidRPr="00E94A71">
        <w:rPr>
          <w:rFonts w:ascii="Times New Roman" w:eastAsia="Calibri" w:hAnsi="Times New Roman" w:cs="Times New Roman"/>
          <w:b/>
          <w:bCs/>
          <w:sz w:val="23"/>
          <w:szCs w:val="23"/>
          <w:lang w:val="lv-LV"/>
        </w:rPr>
        <w:t>Traktortehnikas tehniskās apkopes darbu un atsevišķu tehniskās apkopes darbu cenu tabula</w:t>
      </w:r>
    </w:p>
    <w:p w14:paraId="7928931B" w14:textId="77777777" w:rsidR="00E94A71" w:rsidRPr="00E94A71" w:rsidRDefault="00E94A71" w:rsidP="00E94A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val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1595"/>
        <w:gridCol w:w="2559"/>
        <w:gridCol w:w="1633"/>
        <w:gridCol w:w="1365"/>
      </w:tblGrid>
      <w:tr w:rsidR="00E94A71" w:rsidRPr="00A3188A" w14:paraId="3384986E" w14:textId="77777777" w:rsidTr="00550A45">
        <w:trPr>
          <w:trHeight w:val="1308"/>
        </w:trPr>
        <w:tc>
          <w:tcPr>
            <w:tcW w:w="1192" w:type="pct"/>
          </w:tcPr>
          <w:p w14:paraId="24A06C45" w14:textId="77777777" w:rsidR="00E94A71" w:rsidRPr="00E94A71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</w:pPr>
          </w:p>
          <w:p w14:paraId="3966577A" w14:textId="2CD8B302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  <w:t>Traktortehnikas tehniskās apkopes reize atbilstoši traktortehnikas ražotāja tehniskās apkopes noteikumiem*</w:t>
            </w:r>
          </w:p>
        </w:tc>
        <w:tc>
          <w:tcPr>
            <w:tcW w:w="862" w:type="pct"/>
          </w:tcPr>
          <w:p w14:paraId="2636B6F1" w14:textId="77777777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</w:pPr>
          </w:p>
          <w:p w14:paraId="1C150A4E" w14:textId="402A848B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  <w:t>Nostrādātās motorstundas</w:t>
            </w:r>
            <w:r w:rsidR="00550A45" w:rsidRPr="00A3188A"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  <w:t>**</w:t>
            </w:r>
          </w:p>
        </w:tc>
        <w:tc>
          <w:tcPr>
            <w:tcW w:w="1392" w:type="pct"/>
          </w:tcPr>
          <w:p w14:paraId="6E390223" w14:textId="77777777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</w:pPr>
          </w:p>
          <w:p w14:paraId="1C13F493" w14:textId="77777777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  <w:t>Tehniskās apkopes darbi (īss uzskaitījums) un rezerves daļas, materiāli</w:t>
            </w:r>
          </w:p>
        </w:tc>
        <w:tc>
          <w:tcPr>
            <w:tcW w:w="846" w:type="pct"/>
          </w:tcPr>
          <w:p w14:paraId="449A689E" w14:textId="77777777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</w:pPr>
          </w:p>
          <w:p w14:paraId="72AC5E98" w14:textId="0B667141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  <w:t>Traktortehnikas tehniskās apkopes darbu cena EUR</w:t>
            </w:r>
          </w:p>
        </w:tc>
        <w:tc>
          <w:tcPr>
            <w:tcW w:w="707" w:type="pct"/>
          </w:tcPr>
          <w:p w14:paraId="59B5EE52" w14:textId="3A2BB13F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  <w:t>Apkopes izmaksas</w:t>
            </w:r>
            <w:r w:rsidR="00550A45" w:rsidRPr="00A3188A"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  <w:t>***</w:t>
            </w:r>
            <w:r w:rsidRPr="00A3188A"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  <w:t xml:space="preserve"> sasniedzot 2000 motorstundas</w:t>
            </w:r>
          </w:p>
        </w:tc>
      </w:tr>
      <w:tr w:rsidR="00E94A71" w:rsidRPr="00A3188A" w14:paraId="7B2BC4A5" w14:textId="77777777" w:rsidTr="00550A45">
        <w:trPr>
          <w:trHeight w:val="299"/>
        </w:trPr>
        <w:tc>
          <w:tcPr>
            <w:tcW w:w="1192" w:type="pct"/>
          </w:tcPr>
          <w:p w14:paraId="00D8893C" w14:textId="77777777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  <w:t>1.</w:t>
            </w:r>
          </w:p>
        </w:tc>
        <w:tc>
          <w:tcPr>
            <w:tcW w:w="862" w:type="pct"/>
          </w:tcPr>
          <w:p w14:paraId="0E156B09" w14:textId="02C76E93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  <w:t>500</w:t>
            </w:r>
          </w:p>
        </w:tc>
        <w:tc>
          <w:tcPr>
            <w:tcW w:w="1392" w:type="pct"/>
          </w:tcPr>
          <w:p w14:paraId="66B80080" w14:textId="77777777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  <w:t>&lt;…&gt;</w:t>
            </w:r>
          </w:p>
        </w:tc>
        <w:tc>
          <w:tcPr>
            <w:tcW w:w="846" w:type="pct"/>
          </w:tcPr>
          <w:p w14:paraId="3BF817BD" w14:textId="77777777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  <w:t>&lt;…&gt;</w:t>
            </w:r>
          </w:p>
        </w:tc>
        <w:tc>
          <w:tcPr>
            <w:tcW w:w="707" w:type="pct"/>
          </w:tcPr>
          <w:p w14:paraId="37B378BD" w14:textId="77777777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</w:pPr>
          </w:p>
        </w:tc>
      </w:tr>
      <w:tr w:rsidR="00E94A71" w:rsidRPr="00A3188A" w14:paraId="4F6D98ED" w14:textId="77777777" w:rsidTr="00550A45">
        <w:trPr>
          <w:trHeight w:val="299"/>
        </w:trPr>
        <w:tc>
          <w:tcPr>
            <w:tcW w:w="1192" w:type="pct"/>
          </w:tcPr>
          <w:p w14:paraId="5923F3E9" w14:textId="77777777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  <w:t>&lt;…&gt;</w:t>
            </w:r>
          </w:p>
        </w:tc>
        <w:tc>
          <w:tcPr>
            <w:tcW w:w="862" w:type="pct"/>
          </w:tcPr>
          <w:p w14:paraId="53512928" w14:textId="557BA04A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  <w:t>1000</w:t>
            </w:r>
          </w:p>
        </w:tc>
        <w:tc>
          <w:tcPr>
            <w:tcW w:w="1392" w:type="pct"/>
          </w:tcPr>
          <w:p w14:paraId="6BA4B281" w14:textId="77777777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  <w:t>&lt;…&gt;</w:t>
            </w:r>
          </w:p>
        </w:tc>
        <w:tc>
          <w:tcPr>
            <w:tcW w:w="846" w:type="pct"/>
          </w:tcPr>
          <w:p w14:paraId="2860E9F0" w14:textId="77777777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  <w:t>&lt;…&gt;</w:t>
            </w:r>
          </w:p>
        </w:tc>
        <w:tc>
          <w:tcPr>
            <w:tcW w:w="707" w:type="pct"/>
          </w:tcPr>
          <w:p w14:paraId="28FB6565" w14:textId="77777777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</w:pPr>
          </w:p>
        </w:tc>
      </w:tr>
      <w:tr w:rsidR="00E94A71" w:rsidRPr="00E94A71" w14:paraId="5AE5100D" w14:textId="77777777" w:rsidTr="00550A45">
        <w:trPr>
          <w:trHeight w:val="460"/>
        </w:trPr>
        <w:tc>
          <w:tcPr>
            <w:tcW w:w="1192" w:type="pct"/>
            <w:tcBorders>
              <w:bottom w:val="single" w:sz="6" w:space="0" w:color="000000"/>
            </w:tcBorders>
          </w:tcPr>
          <w:p w14:paraId="3A908FA5" w14:textId="77777777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  <w:t>Kopā:</w:t>
            </w:r>
          </w:p>
        </w:tc>
        <w:tc>
          <w:tcPr>
            <w:tcW w:w="862" w:type="pct"/>
            <w:tcBorders>
              <w:bottom w:val="single" w:sz="6" w:space="0" w:color="000000"/>
            </w:tcBorders>
          </w:tcPr>
          <w:p w14:paraId="56E374B9" w14:textId="0B7CF339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  <w:t xml:space="preserve">2000 </w:t>
            </w:r>
            <w:r w:rsidRPr="00A3188A"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  <w:t>stundas</w:t>
            </w:r>
          </w:p>
        </w:tc>
        <w:tc>
          <w:tcPr>
            <w:tcW w:w="1392" w:type="pct"/>
            <w:tcBorders>
              <w:bottom w:val="single" w:sz="6" w:space="0" w:color="000000"/>
            </w:tcBorders>
          </w:tcPr>
          <w:p w14:paraId="6F01B77E" w14:textId="5DE25FA2" w:rsidR="00E94A71" w:rsidRPr="00A3188A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val="lv-LV"/>
              </w:rPr>
            </w:pPr>
          </w:p>
        </w:tc>
        <w:tc>
          <w:tcPr>
            <w:tcW w:w="846" w:type="pct"/>
            <w:tcBorders>
              <w:bottom w:val="single" w:sz="6" w:space="0" w:color="000000"/>
            </w:tcBorders>
          </w:tcPr>
          <w:p w14:paraId="2FE95842" w14:textId="7591113B" w:rsidR="00E94A71" w:rsidRPr="00E94A71" w:rsidRDefault="00550A45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</w:pPr>
            <w:r w:rsidRPr="00A3188A"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  <w:t>Kopā:</w:t>
            </w:r>
          </w:p>
        </w:tc>
        <w:tc>
          <w:tcPr>
            <w:tcW w:w="707" w:type="pct"/>
            <w:tcBorders>
              <w:bottom w:val="single" w:sz="6" w:space="0" w:color="000000"/>
            </w:tcBorders>
          </w:tcPr>
          <w:p w14:paraId="25EB9CA4" w14:textId="77777777" w:rsidR="00E94A71" w:rsidRPr="00E94A71" w:rsidRDefault="00E94A71" w:rsidP="009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lv-LV"/>
              </w:rPr>
            </w:pPr>
          </w:p>
        </w:tc>
      </w:tr>
    </w:tbl>
    <w:p w14:paraId="0CECCC8E" w14:textId="4CDE4883" w:rsidR="00E94A71" w:rsidRDefault="00E94A71" w:rsidP="00E94A7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lv-LV"/>
        </w:rPr>
      </w:pPr>
      <w:r w:rsidRPr="00E94A71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* Traktortehnikas tehniskās apkopes jāveic ne retāk kā 1 (vienu) reizi gadā, arī tad, ja nav sasniegtas attiecīgās </w:t>
      </w:r>
      <w:r w:rsidR="00A3188A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tehnikas </w:t>
      </w:r>
      <w:r w:rsidRPr="00E94A71">
        <w:rPr>
          <w:rFonts w:ascii="Times New Roman" w:eastAsia="Calibri" w:hAnsi="Times New Roman" w:cs="Times New Roman"/>
          <w:sz w:val="23"/>
          <w:szCs w:val="23"/>
          <w:lang w:val="lv-LV"/>
        </w:rPr>
        <w:t>darba stundas</w:t>
      </w:r>
      <w:r w:rsidR="00550A45">
        <w:rPr>
          <w:rFonts w:ascii="Times New Roman" w:eastAsia="Calibri" w:hAnsi="Times New Roman" w:cs="Times New Roman"/>
          <w:sz w:val="23"/>
          <w:szCs w:val="23"/>
          <w:lang w:val="lv-LV"/>
        </w:rPr>
        <w:t>;</w:t>
      </w:r>
    </w:p>
    <w:p w14:paraId="750EEFA1" w14:textId="45E7DF42" w:rsidR="00550A45" w:rsidRPr="00F10116" w:rsidRDefault="00550A45" w:rsidP="00E94A7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lv-LV"/>
        </w:rPr>
      </w:pPr>
      <w:r>
        <w:rPr>
          <w:rFonts w:ascii="Times New Roman" w:eastAsia="Calibri" w:hAnsi="Times New Roman" w:cs="Times New Roman"/>
          <w:sz w:val="23"/>
          <w:szCs w:val="23"/>
          <w:lang w:val="lv-LV"/>
        </w:rPr>
        <w:t>**Piedāvājumā precizēt pie kādām motorstundām ir nepieciešams veikt apkopes;</w:t>
      </w:r>
    </w:p>
    <w:p w14:paraId="21258759" w14:textId="393B952E" w:rsidR="00550A45" w:rsidRPr="00E94A71" w:rsidRDefault="00550A45" w:rsidP="00550A4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lv-LV"/>
        </w:rPr>
      </w:pPr>
      <w:r w:rsidRPr="00E94A71">
        <w:rPr>
          <w:rFonts w:ascii="Times New Roman" w:eastAsia="Calibri" w:hAnsi="Times New Roman" w:cs="Times New Roman"/>
          <w:sz w:val="23"/>
          <w:szCs w:val="23"/>
          <w:lang w:val="lv-LV"/>
        </w:rPr>
        <w:t>*</w:t>
      </w:r>
      <w:r>
        <w:rPr>
          <w:rFonts w:ascii="Times New Roman" w:eastAsia="Calibri" w:hAnsi="Times New Roman" w:cs="Times New Roman"/>
          <w:sz w:val="23"/>
          <w:szCs w:val="23"/>
          <w:lang w:val="lv-LV"/>
        </w:rPr>
        <w:t>**Š</w:t>
      </w:r>
      <w:r w:rsidRPr="00E94A71">
        <w:rPr>
          <w:rFonts w:ascii="Times New Roman" w:eastAsia="Calibri" w:hAnsi="Times New Roman" w:cs="Times New Roman"/>
          <w:sz w:val="23"/>
          <w:szCs w:val="23"/>
          <w:lang w:val="lv-LV"/>
        </w:rPr>
        <w:t>ai cenai jāsakrīt ar Finanšu piedāvājumā norādīto.</w:t>
      </w:r>
    </w:p>
    <w:p w14:paraId="59EA65E8" w14:textId="77777777" w:rsidR="00E94A71" w:rsidRPr="003865DB" w:rsidRDefault="00E94A71" w:rsidP="00E94A7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lv-LV" w:eastAsia="lv-LV"/>
        </w:rPr>
      </w:pPr>
    </w:p>
    <w:p w14:paraId="10546022" w14:textId="77777777" w:rsidR="00E94A71" w:rsidRPr="00B27375" w:rsidRDefault="00E94A71" w:rsidP="00E94A71">
      <w:pPr>
        <w:spacing w:after="0" w:line="240" w:lineRule="auto"/>
        <w:jc w:val="both"/>
        <w:rPr>
          <w:rFonts w:ascii="Times New Roman" w:eastAsia="Book Antiqua" w:hAnsi="Times New Roman" w:cs="Times New Roman"/>
          <w:b/>
          <w:color w:val="000000"/>
          <w:sz w:val="23"/>
          <w:szCs w:val="23"/>
          <w:lang w:val="lv-LV" w:eastAsia="lv-LV"/>
        </w:rPr>
      </w:pPr>
      <w:r w:rsidRPr="003865DB">
        <w:rPr>
          <w:rFonts w:ascii="Times New Roman" w:eastAsia="Book Antiqua" w:hAnsi="Times New Roman" w:cs="Times New Roman"/>
          <w:b/>
          <w:color w:val="000000"/>
          <w:sz w:val="23"/>
          <w:szCs w:val="23"/>
          <w:lang w:val="lv-LV" w:eastAsia="lv-LV"/>
        </w:rPr>
        <w:t>Pa</w:t>
      </w:r>
      <w:r w:rsidRPr="00B27375">
        <w:rPr>
          <w:rFonts w:ascii="Times New Roman" w:eastAsia="Book Antiqua" w:hAnsi="Times New Roman" w:cs="Times New Roman"/>
          <w:b/>
          <w:color w:val="000000"/>
          <w:sz w:val="23"/>
          <w:szCs w:val="23"/>
          <w:lang w:val="lv-LV" w:eastAsia="lv-LV"/>
        </w:rPr>
        <w:t>pildus informācija Finanšu piedāvājuma sagatavošanai:</w:t>
      </w:r>
    </w:p>
    <w:p w14:paraId="19E6945E" w14:textId="77777777" w:rsidR="00550A45" w:rsidRDefault="00E94A71" w:rsidP="00550A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Book Antiqua" w:hAnsi="Times New Roman" w:cs="Times New Roman"/>
          <w:color w:val="000000"/>
          <w:sz w:val="23"/>
          <w:szCs w:val="23"/>
          <w:lang w:val="lv-LV" w:eastAsia="lv-LV"/>
        </w:rPr>
      </w:pPr>
      <w:r w:rsidRPr="00550A45">
        <w:rPr>
          <w:rFonts w:ascii="Times New Roman" w:eastAsia="Book Antiqua" w:hAnsi="Times New Roman" w:cs="Times New Roman"/>
          <w:color w:val="000000"/>
          <w:sz w:val="23"/>
          <w:szCs w:val="23"/>
          <w:lang w:val="lv-LV" w:eastAsia="lv-LV"/>
        </w:rPr>
        <w:t xml:space="preserve">Maksājumu aprēķināšanai paredzēts izmantot fiksēto procentu likmi. Visā līguma darbības laikā pretendenta norādītā fiksētā procentu likme paliek nemainīga vai arī, pusēm vienojoties, var tikt samazināta. </w:t>
      </w:r>
    </w:p>
    <w:p w14:paraId="0FF8AC94" w14:textId="6C8A8A3F" w:rsidR="00E94A71" w:rsidRDefault="00E94A71" w:rsidP="00550A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Book Antiqua" w:hAnsi="Times New Roman" w:cs="Times New Roman"/>
          <w:color w:val="000000"/>
          <w:sz w:val="23"/>
          <w:szCs w:val="23"/>
          <w:lang w:val="lv-LV" w:eastAsia="lv-LV"/>
        </w:rPr>
      </w:pPr>
      <w:r w:rsidRPr="00550A45">
        <w:rPr>
          <w:rFonts w:ascii="Times New Roman" w:eastAsia="Book Antiqua" w:hAnsi="Times New Roman" w:cs="Times New Roman"/>
          <w:color w:val="000000"/>
          <w:sz w:val="23"/>
          <w:szCs w:val="23"/>
          <w:lang w:val="lv-LV" w:eastAsia="lv-LV"/>
        </w:rPr>
        <w:t>Finanšu piedāvājumā vērtējamā cena ietver visas izmaksas, kas saistītas ar iepirkuma priekšmeta izpildi, izņemot PVN, tai skaitā komisijas maksa un citas izmaksas saskaņā ar iepirkuma procedūras nolikumā ietvertajām prasībām.</w:t>
      </w:r>
    </w:p>
    <w:p w14:paraId="52017465" w14:textId="77777777" w:rsidR="00E94A71" w:rsidRPr="00550A45" w:rsidRDefault="00E94A71" w:rsidP="00550A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Book Antiqua" w:hAnsi="Times New Roman" w:cs="Times New Roman"/>
          <w:color w:val="000000"/>
          <w:sz w:val="23"/>
          <w:szCs w:val="23"/>
          <w:lang w:val="lv-LV" w:eastAsia="lv-LV"/>
        </w:rPr>
      </w:pPr>
      <w:r w:rsidRPr="00550A45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Piedāvājums ir sagatavots neatkarīgi no konkurentiem tirgū un bez konsultācijām, līgumiem vai vienošanām, vai cita veida saziņas ar konkurentiem par cenām; par cenas aprēķināšanas metodēm, faktoriem (apstākļiem) vai formulām; par nodomu vai lēmumu iesniegt vai neiesniegt piedāvājumu vai par piedāvājuma saturu, vai par tādu piedāvājuma iesniegšanu, kas neatbilst iepirkuma prasībām; par kvalitāti, apjomu, specifikāciju, izpildes, piegādes vai citiem nosacījumiem, kas risināmi neatkarīgi no konkurentiem, par tiem produktiem vai pakalpojumiem, uz ko attiecas šis iepirkums. </w:t>
      </w:r>
    </w:p>
    <w:p w14:paraId="1CDB1D3C" w14:textId="77777777" w:rsidR="00E94A71" w:rsidRDefault="00E94A71" w:rsidP="00E94A71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CFD58C5" w14:textId="77777777" w:rsidR="00E94A71" w:rsidRDefault="00E94A71" w:rsidP="00E94A71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E434C77" w14:textId="77777777" w:rsidR="00E94A71" w:rsidRDefault="00E94A71" w:rsidP="00E94A71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6D95556" w14:textId="77777777" w:rsidR="00E94A71" w:rsidRPr="0054580E" w:rsidRDefault="00E94A71" w:rsidP="00E94A71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4580E">
        <w:rPr>
          <w:rFonts w:ascii="Times New Roman" w:hAnsi="Times New Roman" w:cs="Times New Roman"/>
          <w:sz w:val="24"/>
          <w:szCs w:val="24"/>
          <w:lang w:val="lv-LV"/>
        </w:rPr>
        <w:t>____________________       _____________         _____________</w:t>
      </w:r>
    </w:p>
    <w:p w14:paraId="4AAB917E" w14:textId="77777777" w:rsidR="00E94A71" w:rsidRPr="0054580E" w:rsidRDefault="00E94A71" w:rsidP="00E94A71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4580E">
        <w:rPr>
          <w:rFonts w:ascii="Times New Roman" w:hAnsi="Times New Roman" w:cs="Times New Roman"/>
          <w:sz w:val="24"/>
          <w:szCs w:val="24"/>
          <w:lang w:val="lv-LV"/>
        </w:rPr>
        <w:t xml:space="preserve"> /vārds, uzvārds/ </w:t>
      </w:r>
      <w:r w:rsidRPr="0054580E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</w:t>
      </w:r>
      <w:r w:rsidRPr="0054580E">
        <w:rPr>
          <w:rFonts w:ascii="Times New Roman" w:hAnsi="Times New Roman" w:cs="Times New Roman"/>
          <w:sz w:val="24"/>
          <w:szCs w:val="24"/>
          <w:lang w:val="lv-LV"/>
        </w:rPr>
        <w:tab/>
        <w:t xml:space="preserve">/amats/             </w:t>
      </w:r>
      <w:r w:rsidRPr="0054580E">
        <w:rPr>
          <w:rFonts w:ascii="Times New Roman" w:hAnsi="Times New Roman" w:cs="Times New Roman"/>
          <w:sz w:val="24"/>
          <w:szCs w:val="24"/>
          <w:lang w:val="lv-LV"/>
        </w:rPr>
        <w:tab/>
        <w:t>/paraksts/</w:t>
      </w:r>
    </w:p>
    <w:p w14:paraId="32F97307" w14:textId="77777777" w:rsidR="00E94A71" w:rsidRPr="0054580E" w:rsidRDefault="00E94A71" w:rsidP="00E94A71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4580E">
        <w:rPr>
          <w:rFonts w:ascii="Times New Roman" w:hAnsi="Times New Roman" w:cs="Times New Roman"/>
          <w:sz w:val="24"/>
          <w:szCs w:val="24"/>
          <w:lang w:val="lv-LV"/>
        </w:rPr>
        <w:t>____________________20</w:t>
      </w:r>
      <w:r>
        <w:rPr>
          <w:rFonts w:ascii="Times New Roman" w:hAnsi="Times New Roman" w:cs="Times New Roman"/>
          <w:sz w:val="24"/>
          <w:szCs w:val="24"/>
          <w:lang w:val="lv-LV"/>
        </w:rPr>
        <w:t>23</w:t>
      </w:r>
      <w:r w:rsidRPr="0054580E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4580E">
        <w:rPr>
          <w:rFonts w:ascii="Times New Roman" w:hAnsi="Times New Roman" w:cs="Times New Roman"/>
          <w:sz w:val="24"/>
          <w:szCs w:val="24"/>
          <w:lang w:val="lv-LV"/>
        </w:rPr>
        <w:t>gada ___.___________</w:t>
      </w:r>
    </w:p>
    <w:p w14:paraId="26BEAEBC" w14:textId="77777777" w:rsidR="00E94A71" w:rsidRDefault="00E94A71" w:rsidP="00E94A71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4580E">
        <w:rPr>
          <w:rFonts w:ascii="Times New Roman" w:hAnsi="Times New Roman" w:cs="Times New Roman"/>
          <w:sz w:val="24"/>
          <w:szCs w:val="24"/>
          <w:lang w:val="lv-LV"/>
        </w:rPr>
        <w:t>/parakstīšanas vieta</w:t>
      </w:r>
      <w:r>
        <w:rPr>
          <w:rFonts w:ascii="Times New Roman" w:hAnsi="Times New Roman" w:cs="Times New Roman"/>
          <w:sz w:val="24"/>
          <w:szCs w:val="24"/>
          <w:lang w:val="lv-LV"/>
        </w:rPr>
        <w:t>/</w:t>
      </w:r>
    </w:p>
    <w:p w14:paraId="3597CA19" w14:textId="77777777" w:rsidR="00D41690" w:rsidRDefault="00D41690"/>
    <w:sectPr w:rsidR="00D41690" w:rsidSect="00B95C3C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196"/>
    <w:multiLevelType w:val="hybridMultilevel"/>
    <w:tmpl w:val="4F54C15A"/>
    <w:lvl w:ilvl="0" w:tplc="313E6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A744F"/>
    <w:multiLevelType w:val="hybridMultilevel"/>
    <w:tmpl w:val="930CBD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5636">
    <w:abstractNumId w:val="0"/>
  </w:num>
  <w:num w:numId="2" w16cid:durableId="7748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71"/>
    <w:rsid w:val="005113E6"/>
    <w:rsid w:val="00550A45"/>
    <w:rsid w:val="008A2217"/>
    <w:rsid w:val="00A3188A"/>
    <w:rsid w:val="00AB27FA"/>
    <w:rsid w:val="00D13A88"/>
    <w:rsid w:val="00D41690"/>
    <w:rsid w:val="00E9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49F1"/>
  <w15:chartTrackingRefBased/>
  <w15:docId w15:val="{D2B18CEC-499C-4485-A0A8-BC2EA1D0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A71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A71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9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normaltextrun">
    <w:name w:val="normaltextrun"/>
    <w:basedOn w:val="DefaultParagraphFont"/>
    <w:rsid w:val="00E94A71"/>
  </w:style>
  <w:style w:type="character" w:customStyle="1" w:styleId="eop">
    <w:name w:val="eop"/>
    <w:basedOn w:val="DefaultParagraphFont"/>
    <w:rsid w:val="00E94A71"/>
  </w:style>
  <w:style w:type="paragraph" w:styleId="ListParagraph">
    <w:name w:val="List Paragraph"/>
    <w:basedOn w:val="Normal"/>
    <w:uiPriority w:val="34"/>
    <w:qFormat/>
    <w:rsid w:val="00550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2831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Sandra Rode</cp:lastModifiedBy>
  <cp:revision>2</cp:revision>
  <dcterms:created xsi:type="dcterms:W3CDTF">2023-10-27T14:30:00Z</dcterms:created>
  <dcterms:modified xsi:type="dcterms:W3CDTF">2023-10-31T11:50:00Z</dcterms:modified>
</cp:coreProperties>
</file>